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9DE" w:rsidRPr="003B6BFE" w:rsidRDefault="002079DE" w:rsidP="002079DE">
      <w:pPr>
        <w:keepNext/>
        <w:tabs>
          <w:tab w:val="left" w:pos="8505"/>
        </w:tabs>
        <w:spacing w:before="0" w:after="0"/>
        <w:ind w:right="-754"/>
        <w:outlineLvl w:val="7"/>
        <w:rPr>
          <w:b/>
          <w:bCs/>
          <w:szCs w:val="22"/>
          <w:lang w:val="fr" w:eastAsia="zh-CN"/>
        </w:rPr>
      </w:pPr>
      <w:bookmarkStart w:id="0" w:name="OLE_LINK1"/>
      <w:bookmarkStart w:id="1" w:name="OLE_LINK2"/>
      <w:r w:rsidRPr="003B6BFE">
        <w:rPr>
          <w:b/>
          <w:bCs/>
          <w:szCs w:val="22"/>
          <w:lang w:val="fr" w:eastAsia="zh-CN"/>
        </w:rPr>
        <w:t xml:space="preserve">TREIZIÈME RÉUNION DES MINISTRES </w:t>
      </w:r>
    </w:p>
    <w:p w:rsidR="002079DE" w:rsidRPr="003B6BFE" w:rsidRDefault="002079DE" w:rsidP="002079DE">
      <w:pPr>
        <w:tabs>
          <w:tab w:val="left" w:pos="8505"/>
        </w:tabs>
        <w:spacing w:before="0" w:after="0"/>
        <w:ind w:right="-754"/>
        <w:rPr>
          <w:rFonts w:eastAsia="Malgun Gothic"/>
          <w:b/>
          <w:szCs w:val="22"/>
          <w:lang w:val="fr-FR" w:eastAsia="zh-CN"/>
        </w:rPr>
      </w:pPr>
      <w:r w:rsidRPr="003B6BFE">
        <w:rPr>
          <w:b/>
          <w:bCs/>
          <w:szCs w:val="22"/>
          <w:lang w:val="fr" w:eastAsia="zh-CN"/>
        </w:rPr>
        <w:t>DE LA SANTÉ DES PAYS OCÉANIENS                                           PIC13/</w:t>
      </w:r>
      <w:r w:rsidR="00E0054D">
        <w:rPr>
          <w:b/>
          <w:bCs/>
          <w:szCs w:val="22"/>
          <w:lang w:val="fr" w:eastAsia="zh-CN"/>
        </w:rPr>
        <w:t>S3/1</w:t>
      </w:r>
    </w:p>
    <w:p w:rsidR="002079DE" w:rsidRPr="003B6BFE" w:rsidRDefault="002079DE" w:rsidP="002079DE">
      <w:pPr>
        <w:keepNext/>
        <w:tabs>
          <w:tab w:val="left" w:pos="8505"/>
        </w:tabs>
        <w:spacing w:before="0" w:after="0"/>
        <w:ind w:right="-754"/>
        <w:outlineLvl w:val="7"/>
        <w:rPr>
          <w:rFonts w:eastAsia="Malgun Gothic"/>
          <w:b/>
          <w:bCs/>
          <w:szCs w:val="22"/>
          <w:lang w:val="fr-FR" w:eastAsia="zh-CN"/>
        </w:rPr>
      </w:pPr>
      <w:r w:rsidRPr="003B6BFE">
        <w:rPr>
          <w:rFonts w:eastAsia="Malgun Gothic"/>
          <w:b/>
          <w:bCs/>
          <w:szCs w:val="22"/>
          <w:lang w:val="fr" w:eastAsia="zh-CN"/>
        </w:rPr>
        <w:t xml:space="preserve">Papeete (Polynésie française)                                   </w:t>
      </w:r>
      <w:r w:rsidR="00652D3C" w:rsidRPr="003B6BFE">
        <w:rPr>
          <w:rFonts w:eastAsia="Malgun Gothic"/>
          <w:b/>
          <w:bCs/>
          <w:szCs w:val="22"/>
          <w:lang w:val="fr" w:eastAsia="zh-CN"/>
        </w:rPr>
        <w:t xml:space="preserve">                              26</w:t>
      </w:r>
      <w:r w:rsidRPr="003B6BFE">
        <w:rPr>
          <w:rFonts w:eastAsia="Malgun Gothic"/>
          <w:b/>
          <w:bCs/>
          <w:szCs w:val="22"/>
          <w:lang w:val="fr" w:eastAsia="zh-CN"/>
        </w:rPr>
        <w:t xml:space="preserve"> juin 2019</w:t>
      </w:r>
    </w:p>
    <w:p w:rsidR="002079DE" w:rsidRPr="003B6BFE" w:rsidRDefault="002079DE" w:rsidP="00E0054D">
      <w:pPr>
        <w:tabs>
          <w:tab w:val="left" w:pos="6300"/>
        </w:tabs>
        <w:spacing w:before="0" w:after="0"/>
        <w:rPr>
          <w:lang w:val="fr"/>
        </w:rPr>
      </w:pPr>
      <w:r w:rsidRPr="003B6BFE">
        <w:rPr>
          <w:rFonts w:eastAsia="Malgun Gothic"/>
          <w:b/>
          <w:bCs/>
          <w:szCs w:val="22"/>
          <w:lang w:val="fr" w:eastAsia="zh-CN"/>
        </w:rPr>
        <w:t>6–8 août 2019</w:t>
      </w:r>
      <w:r w:rsidR="00E0054D">
        <w:rPr>
          <w:rFonts w:eastAsia="Malgun Gothic"/>
          <w:szCs w:val="22"/>
          <w:lang w:val="fr" w:eastAsia="zh-CN"/>
        </w:rPr>
        <w:tab/>
      </w:r>
      <w:r w:rsidRPr="003B6BFE">
        <w:rPr>
          <w:rFonts w:eastAsia="Malgun Gothic"/>
          <w:szCs w:val="22"/>
          <w:lang w:val="fr"/>
        </w:rPr>
        <w:t>ORIGINAL : ANGLAIS</w:t>
      </w:r>
    </w:p>
    <w:p w:rsidR="008E0E4B" w:rsidRPr="003B6BFE" w:rsidRDefault="00A56F20" w:rsidP="00DA5BFB">
      <w:pPr>
        <w:pStyle w:val="Heading1"/>
        <w:rPr>
          <w:lang w:val="fr-FR"/>
        </w:rPr>
      </w:pPr>
      <w:r w:rsidRPr="003B6BFE">
        <w:rPr>
          <w:lang w:val="fr"/>
        </w:rPr>
        <w:t>Renforcement de la sécurité sanitaire régionale : Maladies émergentes et préparation et intervention en cas de catastrophe</w:t>
      </w:r>
    </w:p>
    <w:tbl>
      <w:tblPr>
        <w:tblStyle w:val="TableGrid"/>
        <w:tblW w:w="0" w:type="auto"/>
        <w:tblInd w:w="198" w:type="dxa"/>
        <w:tblLook w:val="04A0" w:firstRow="1" w:lastRow="0" w:firstColumn="1" w:lastColumn="0" w:noHBand="0" w:noVBand="1"/>
      </w:tblPr>
      <w:tblGrid>
        <w:gridCol w:w="8910"/>
      </w:tblGrid>
      <w:tr w:rsidR="00EC2949" w:rsidRPr="003B6BFE" w:rsidTr="00FC3C5D">
        <w:tc>
          <w:tcPr>
            <w:tcW w:w="8910" w:type="dxa"/>
          </w:tcPr>
          <w:p w:rsidR="003552A4" w:rsidRPr="003B6BFE" w:rsidRDefault="00FF46C2" w:rsidP="00865C1A">
            <w:pPr>
              <w:rPr>
                <w:lang w:val="fr-FR"/>
              </w:rPr>
            </w:pPr>
            <w:r>
              <w:rPr>
                <w:lang w:val="fr"/>
              </w:rPr>
              <w:t xml:space="preserve">        </w:t>
            </w:r>
            <w:r w:rsidR="00A56F20" w:rsidRPr="003B6BFE">
              <w:rPr>
                <w:lang w:val="fr"/>
              </w:rPr>
              <w:t xml:space="preserve">La santé étant une préoccupation majeure dans la quasi-totalité des situations d’urgence, il est attendu des systèmes de santé qu’ils interviennent rapidement et efficacement afin d’atténuer leurs conséquences sanitaires et socioéconomiques. La capacité d’intervention en cas de crise sanitaire dépend des capacités disponibles dans les systèmes nationaux de soins cliniques et de santé publique. </w:t>
            </w:r>
          </w:p>
          <w:p w:rsidR="002C1D7D" w:rsidRPr="003B6BFE" w:rsidRDefault="00FF46C2" w:rsidP="00865C1A">
            <w:pPr>
              <w:rPr>
                <w:lang w:val="fr-FR"/>
              </w:rPr>
            </w:pPr>
            <w:r>
              <w:rPr>
                <w:lang w:val="fr"/>
              </w:rPr>
              <w:t xml:space="preserve">        </w:t>
            </w:r>
            <w:r w:rsidR="00A56F20" w:rsidRPr="003B6BFE">
              <w:rPr>
                <w:lang w:val="fr"/>
              </w:rPr>
              <w:t xml:space="preserve">Le Règlement sanitaire international ou RSI (2005) est le cadre juridique régissant la sécurité sanitaire mondiale. </w:t>
            </w:r>
            <w:r w:rsidR="003B6BFE">
              <w:rPr>
                <w:lang w:val="fr"/>
              </w:rPr>
              <w:t>Depuis son entrée en vigueur en </w:t>
            </w:r>
            <w:r w:rsidR="00A56F20" w:rsidRPr="003B6BFE">
              <w:rPr>
                <w:lang w:val="fr"/>
              </w:rPr>
              <w:t>juin</w:t>
            </w:r>
            <w:r w:rsidR="003B6BFE">
              <w:rPr>
                <w:lang w:val="fr"/>
              </w:rPr>
              <w:t> </w:t>
            </w:r>
            <w:r w:rsidR="00A56F20" w:rsidRPr="003B6BFE">
              <w:rPr>
                <w:lang w:val="fr"/>
              </w:rPr>
              <w:t xml:space="preserve">2007, l’Organisation mondiale de la Santé (OMS), les gouvernements et les partenaires ont collaboré pour </w:t>
            </w:r>
            <w:r w:rsidR="003B6BFE">
              <w:rPr>
                <w:lang w:val="fr"/>
              </w:rPr>
              <w:t>mettre en œuvre</w:t>
            </w:r>
            <w:r w:rsidR="00A56F20" w:rsidRPr="003B6BFE">
              <w:rPr>
                <w:lang w:val="fr"/>
              </w:rPr>
              <w:t>, préserver et évaluer les principales capacités requises pour prévenir, détecter et notifier les menaces nationales ou internationales pesant sur la santé publique, et y riposter. Chaque année, les États du Pacifique parties au RSI (2005) évaluent leurs principales capacités requises au titre du RSI dans le cadre d’autoévaluations, puis rendent comp</w:t>
            </w:r>
            <w:r w:rsidR="003B6BFE">
              <w:rPr>
                <w:lang w:val="fr"/>
              </w:rPr>
              <w:t>te de leurs progrès à l’OMS. En </w:t>
            </w:r>
            <w:r w:rsidR="00A56F20" w:rsidRPr="003B6BFE">
              <w:rPr>
                <w:lang w:val="fr"/>
              </w:rPr>
              <w:t xml:space="preserve">2018, 12 des 13 États parties ont achevé leur Rapport annuel d’autoévaluation (SPAR), contre sept seulement en 2017, tandis que les États fédérés de Micronésie sont devenus le premier État partie du Pacifique à réaliser une évaluation extérieure conjointe (JEE) plus objective.   </w:t>
            </w:r>
          </w:p>
          <w:p w:rsidR="00F20087" w:rsidRPr="003B6BFE" w:rsidRDefault="00FF46C2" w:rsidP="00865C1A">
            <w:pPr>
              <w:rPr>
                <w:lang w:val="fr-FR"/>
              </w:rPr>
            </w:pPr>
            <w:r>
              <w:rPr>
                <w:lang w:val="fr"/>
              </w:rPr>
              <w:t xml:space="preserve">        </w:t>
            </w:r>
            <w:r w:rsidR="00A56F20" w:rsidRPr="003B6BFE">
              <w:rPr>
                <w:lang w:val="fr"/>
              </w:rPr>
              <w:t>Le présent document fait le point sur les progrès réalisés dans le renforcement et le suivi des capacités au titre du RSI. Les ministres de la santé du Pacifique sont invités à</w:t>
            </w:r>
            <w:r w:rsidR="008A3E07" w:rsidRPr="003B6BFE">
              <w:rPr>
                <w:lang w:val="fr"/>
              </w:rPr>
              <w:t> </w:t>
            </w:r>
            <w:r w:rsidR="00A56F20" w:rsidRPr="003B6BFE">
              <w:rPr>
                <w:lang w:val="fr"/>
              </w:rPr>
              <w:t>: i) veiller à ce que les points focaux nationaux RSI (PFN) disposent des ressources appropriées et dialoguent activement avec les secteurs autres que la santé pour soutenir la</w:t>
            </w:r>
            <w:r w:rsidR="003B6BFE">
              <w:rPr>
                <w:lang w:val="fr"/>
              </w:rPr>
              <w:t> mise en œuvre</w:t>
            </w:r>
            <w:r w:rsidR="00A56F20" w:rsidRPr="003B6BFE">
              <w:rPr>
                <w:lang w:val="fr"/>
              </w:rPr>
              <w:t xml:space="preserve"> du RSI (2005)</w:t>
            </w:r>
            <w:r w:rsidR="008A3E07" w:rsidRPr="003B6BFE">
              <w:rPr>
                <w:lang w:val="fr"/>
              </w:rPr>
              <w:t> </w:t>
            </w:r>
            <w:r w:rsidR="00A56F20" w:rsidRPr="003B6BFE">
              <w:rPr>
                <w:lang w:val="fr"/>
              </w:rPr>
              <w:t xml:space="preserve">; ii) envisager d’inviter d’autres secteurs clés à intégrer l’équipe PFN pour renforcer la sensibilisation, </w:t>
            </w:r>
            <w:r w:rsidR="00A56F20" w:rsidRPr="003B6BFE">
              <w:rPr>
                <w:lang w:val="fr"/>
              </w:rPr>
              <w:lastRenderedPageBreak/>
              <w:t>la collaboration intersectorielle et la responsabilisation dans le cadre du RSI</w:t>
            </w:r>
            <w:r w:rsidR="008A3E07" w:rsidRPr="003B6BFE">
              <w:rPr>
                <w:lang w:val="fr"/>
              </w:rPr>
              <w:t> </w:t>
            </w:r>
            <w:r w:rsidR="00A56F20" w:rsidRPr="003B6BFE">
              <w:rPr>
                <w:lang w:val="fr"/>
              </w:rPr>
              <w:t xml:space="preserve">; iii) promouvoir les activités du </w:t>
            </w:r>
            <w:r w:rsidR="00A56F20" w:rsidRPr="003B6BFE">
              <w:rPr>
                <w:i/>
                <w:iCs/>
                <w:lang w:val="fr"/>
              </w:rPr>
              <w:t>Cadre de suivi et d’évaluation du RSI</w:t>
            </w:r>
            <w:r w:rsidR="00A56F20" w:rsidRPr="003B6BFE">
              <w:rPr>
                <w:lang w:val="fr"/>
              </w:rPr>
              <w:t xml:space="preserve"> pour évaluer et tester les capacités</w:t>
            </w:r>
            <w:r w:rsidR="008A3E07" w:rsidRPr="003B6BFE">
              <w:rPr>
                <w:lang w:val="fr"/>
              </w:rPr>
              <w:t> </w:t>
            </w:r>
            <w:r w:rsidR="00A56F20" w:rsidRPr="003B6BFE">
              <w:rPr>
                <w:lang w:val="fr"/>
              </w:rPr>
              <w:t xml:space="preserve">; iv) adopter les recommandations de la Réunion sur la gestion des risques liés aux urgences sanitaires dans le Pacifique (2018), pour renforcer les capacités de préparation et d’intervention en cas d’urgence englobant tous les risques, conformément au RSI (2005) et à la </w:t>
            </w:r>
            <w:r w:rsidR="00A56F20" w:rsidRPr="003B6BFE">
              <w:rPr>
                <w:i/>
                <w:iCs/>
                <w:lang w:val="fr"/>
              </w:rPr>
              <w:t>Stratégie Asie-Pacifique pour la maîtrise des maladies émergentes et la gestion des urgences de santé publique</w:t>
            </w:r>
            <w:r w:rsidR="00A56F20" w:rsidRPr="003B6BFE">
              <w:rPr>
                <w:lang w:val="fr"/>
              </w:rPr>
              <w:t xml:space="preserve"> (SMEAP III)</w:t>
            </w:r>
            <w:r w:rsidR="008A3E07" w:rsidRPr="003B6BFE">
              <w:rPr>
                <w:lang w:val="fr"/>
              </w:rPr>
              <w:t> </w:t>
            </w:r>
            <w:r w:rsidR="00A56F20" w:rsidRPr="003B6BFE">
              <w:rPr>
                <w:lang w:val="fr"/>
              </w:rPr>
              <w:t>; v) reconnaître l’importance de la sécurité chimique en tant que principale capacité requise au titre du RSI ainsi que le besoin de cartographier et d’élaborer des plans de gestion des produits chimiques dangereux dans les laboratoires et la lutte antivectorielle</w:t>
            </w:r>
            <w:r w:rsidR="008A3E07" w:rsidRPr="003B6BFE">
              <w:rPr>
                <w:lang w:val="fr"/>
              </w:rPr>
              <w:t> </w:t>
            </w:r>
            <w:r w:rsidR="00A56F20" w:rsidRPr="003B6BFE">
              <w:rPr>
                <w:lang w:val="fr"/>
              </w:rPr>
              <w:t>; et vi) appuyer l’élaboration et le financement des plans d’action nationaux pour la sécurité sanitaire afin de combler les lacunes en matière de capacités de préparation et d’intervention en cas d’urgence et de préserver les acquis.</w:t>
            </w:r>
          </w:p>
        </w:tc>
      </w:tr>
    </w:tbl>
    <w:p w:rsidR="00670A9D" w:rsidRPr="003B6BFE" w:rsidRDefault="00A56F20" w:rsidP="00670A9D">
      <w:pPr>
        <w:pStyle w:val="boxedsummary"/>
        <w:spacing w:line="240" w:lineRule="auto"/>
        <w:ind w:left="0" w:firstLine="0"/>
        <w:jc w:val="left"/>
        <w:rPr>
          <w:rFonts w:ascii="Calibri" w:eastAsia="SimSun" w:hAnsi="Calibri" w:cs="Calibri"/>
          <w:b/>
          <w:lang w:val="fr-FR"/>
        </w:rPr>
      </w:pPr>
      <w:r w:rsidRPr="003B6BFE">
        <w:rPr>
          <w:rFonts w:ascii="Calibri" w:eastAsia="SimSun" w:hAnsi="Calibri" w:cs="Calibri"/>
          <w:b/>
          <w:bCs/>
          <w:lang w:val="fr"/>
        </w:rPr>
        <w:lastRenderedPageBreak/>
        <w:br w:type="page"/>
      </w:r>
      <w:bookmarkEnd w:id="0"/>
      <w:bookmarkEnd w:id="1"/>
    </w:p>
    <w:p w:rsidR="00BE5486" w:rsidRPr="003B6BFE" w:rsidRDefault="00A56F20" w:rsidP="00670A9D">
      <w:pPr>
        <w:pStyle w:val="Heading1"/>
        <w:numPr>
          <w:ilvl w:val="0"/>
          <w:numId w:val="18"/>
        </w:numPr>
        <w:rPr>
          <w:rFonts w:eastAsia="SimSun"/>
        </w:rPr>
      </w:pPr>
      <w:r w:rsidRPr="003B6BFE">
        <w:rPr>
          <w:lang w:val="fr"/>
        </w:rPr>
        <w:lastRenderedPageBreak/>
        <w:t>CONTEXTE</w:t>
      </w:r>
    </w:p>
    <w:p w:rsidR="00835898" w:rsidRPr="003B6BFE" w:rsidRDefault="00A56F20" w:rsidP="00DA5BFB">
      <w:pPr>
        <w:rPr>
          <w:lang w:val="fr-FR"/>
        </w:rPr>
      </w:pPr>
      <w:r w:rsidRPr="003B6BFE">
        <w:rPr>
          <w:lang w:val="fr"/>
        </w:rPr>
        <w:t xml:space="preserve">Les États et Territoires insulaires du Pacifique sont vulnérables aux maladies infectieuses émergentes et aux aléas naturels, dont certains, comme les événements météorologiques extrêmes, sont susceptibles d’augmenter en gravité ou en fréquence en raison du changement climatique. En 2018, le </w:t>
      </w:r>
      <w:hyperlink r:id="rId9" w:history="1">
        <w:r w:rsidRPr="003B6BFE">
          <w:rPr>
            <w:rStyle w:val="Hyperlink"/>
            <w:i/>
            <w:iCs/>
            <w:szCs w:val="22"/>
            <w:u w:val="none"/>
            <w:lang w:val="fr"/>
          </w:rPr>
          <w:t>WorldRiskReport</w:t>
        </w:r>
      </w:hyperlink>
      <w:r w:rsidRPr="003B6BFE">
        <w:rPr>
          <w:lang w:val="fr"/>
        </w:rPr>
        <w:t xml:space="preserve"> a recensé six États et Territoires insulaires du Pacifique parmi les 15 pays les plus vulnérables aux catastrophes naturelles en raison de leur exposition aux aléas naturels, de leur vulnérabilité et de leur résilience aux effets des catastrophes. En 2017 et 2018, ces États et Territoires ont signalé 49 cas de maladies infectieuses au service </w:t>
      </w:r>
      <w:hyperlink r:id="rId10" w:history="1">
        <w:r w:rsidRPr="003B6BFE">
          <w:rPr>
            <w:rStyle w:val="Hyperlink"/>
            <w:szCs w:val="22"/>
            <w:u w:val="none"/>
            <w:lang w:val="fr"/>
          </w:rPr>
          <w:t>PacNet</w:t>
        </w:r>
      </w:hyperlink>
      <w:r w:rsidRPr="003B6BFE">
        <w:rPr>
          <w:vertAlign w:val="superscript"/>
          <w:lang w:val="fr"/>
        </w:rPr>
        <w:footnoteReference w:id="1"/>
      </w:r>
      <w:r w:rsidRPr="003B6BFE">
        <w:rPr>
          <w:lang w:val="fr"/>
        </w:rPr>
        <w:t xml:space="preserve"> de l’Organisation mondiale de la Santé (OMS) et du </w:t>
      </w:r>
      <w:hyperlink r:id="rId11" w:history="1">
        <w:r w:rsidRPr="003B6BFE">
          <w:rPr>
            <w:rStyle w:val="Hyperlink"/>
            <w:u w:val="none"/>
            <w:lang w:val="fr"/>
          </w:rPr>
          <w:t>Réseau océanien de surveillance de la santé publique</w:t>
        </w:r>
      </w:hyperlink>
      <w:r w:rsidRPr="003B6BFE">
        <w:rPr>
          <w:lang w:val="fr"/>
        </w:rPr>
        <w:t xml:space="preserve"> (ROSSP), tandis que 22 catastrophes ayant des conséquences sur la santé publique ont été enregistrées dans la région par le </w:t>
      </w:r>
      <w:hyperlink r:id="rId12" w:history="1">
        <w:r w:rsidRPr="003B6BFE">
          <w:rPr>
            <w:rStyle w:val="Hyperlink"/>
            <w:szCs w:val="22"/>
            <w:u w:val="none"/>
            <w:lang w:val="fr"/>
          </w:rPr>
          <w:t>Centre for Research on the Epidemiology of Disasters</w:t>
        </w:r>
      </w:hyperlink>
      <w:r w:rsidRPr="003B6BFE">
        <w:rPr>
          <w:rStyle w:val="FootnoteReference"/>
          <w:szCs w:val="22"/>
          <w:lang w:val="fr"/>
        </w:rPr>
        <w:footnoteReference w:id="2"/>
      </w:r>
      <w:r w:rsidRPr="003B6BFE">
        <w:rPr>
          <w:lang w:val="fr"/>
        </w:rPr>
        <w:t xml:space="preserve">. Ces événements entraînent d’importantes perturbations économiques et sociales ainsi que des pertes en vies humaines pour les peuples du Pacifique. </w:t>
      </w:r>
    </w:p>
    <w:p w:rsidR="003552A4" w:rsidRPr="003B6BFE" w:rsidRDefault="00A56F20" w:rsidP="00DA5BFB">
      <w:pPr>
        <w:rPr>
          <w:i/>
          <w:lang w:val="fr-FR"/>
        </w:rPr>
      </w:pPr>
      <w:r w:rsidRPr="003B6BFE">
        <w:rPr>
          <w:lang w:val="fr"/>
        </w:rPr>
        <w:t>Dans le Pacifique, la</w:t>
      </w:r>
      <w:r w:rsidR="003B6BFE">
        <w:rPr>
          <w:lang w:val="fr"/>
        </w:rPr>
        <w:t> mise en œuvre</w:t>
      </w:r>
      <w:r w:rsidRPr="003B6BFE">
        <w:rPr>
          <w:lang w:val="fr"/>
        </w:rPr>
        <w:t xml:space="preserve"> du </w:t>
      </w:r>
      <w:hyperlink r:id="rId13" w:history="1">
        <w:r w:rsidRPr="003B6BFE">
          <w:rPr>
            <w:rStyle w:val="Hyperlink"/>
            <w:u w:val="none"/>
            <w:lang w:val="fr"/>
          </w:rPr>
          <w:t>Règlement sanitaire international</w:t>
        </w:r>
      </w:hyperlink>
      <w:r w:rsidRPr="003B6BFE">
        <w:rPr>
          <w:lang w:val="fr"/>
        </w:rPr>
        <w:t>, ou RSI (2005), a été guidée par le concept d’</w:t>
      </w:r>
      <w:hyperlink r:id="rId14" w:history="1">
        <w:r w:rsidRPr="003B6BFE">
          <w:rPr>
            <w:rStyle w:val="Hyperlink"/>
            <w:szCs w:val="22"/>
            <w:u w:val="none"/>
            <w:lang w:val="fr"/>
          </w:rPr>
          <w:t>îles-santé</w:t>
        </w:r>
      </w:hyperlink>
      <w:r w:rsidRPr="003B6BFE">
        <w:rPr>
          <w:lang w:val="fr"/>
        </w:rPr>
        <w:t xml:space="preserve"> et la </w:t>
      </w:r>
      <w:hyperlink r:id="rId15" w:history="1">
        <w:r w:rsidRPr="003B6BFE">
          <w:rPr>
            <w:rStyle w:val="Hyperlink"/>
            <w:i/>
            <w:iCs/>
            <w:szCs w:val="22"/>
            <w:u w:val="none"/>
            <w:lang w:val="fr"/>
          </w:rPr>
          <w:t>Stratégie Asie-Pacifique pour la maîtrise des maladies émergentes et la gestion des urgences de santé publique</w:t>
        </w:r>
      </w:hyperlink>
      <w:r w:rsidRPr="003B6BFE">
        <w:rPr>
          <w:lang w:val="fr"/>
        </w:rPr>
        <w:t xml:space="preserve"> (SMEAP III), qui régit la</w:t>
      </w:r>
      <w:r w:rsidR="003B6BFE">
        <w:rPr>
          <w:lang w:val="fr"/>
        </w:rPr>
        <w:t> mise en œuvre</w:t>
      </w:r>
      <w:r w:rsidRPr="003B6BFE">
        <w:rPr>
          <w:lang w:val="fr"/>
        </w:rPr>
        <w:t xml:space="preserve"> du RSI dans la Région du Pacifique occidental. Le </w:t>
      </w:r>
      <w:r w:rsidRPr="003B6BFE">
        <w:rPr>
          <w:i/>
          <w:iCs/>
          <w:lang w:val="fr"/>
        </w:rPr>
        <w:t>Plan de coordination pour la sécurité sanitaire dans le Pacifique</w:t>
      </w:r>
      <w:r w:rsidR="008A3E07" w:rsidRPr="003B6BFE">
        <w:rPr>
          <w:i/>
          <w:iCs/>
          <w:lang w:val="fr"/>
        </w:rPr>
        <w:t> </w:t>
      </w:r>
      <w:r w:rsidRPr="003B6BFE">
        <w:rPr>
          <w:i/>
          <w:iCs/>
          <w:lang w:val="fr"/>
        </w:rPr>
        <w:t xml:space="preserve">2017-2022 </w:t>
      </w:r>
      <w:r w:rsidRPr="003B6BFE">
        <w:rPr>
          <w:lang w:val="fr"/>
        </w:rPr>
        <w:t xml:space="preserve">(PaHSeC), qui a été approuvé par les ministres de la santé du Pacifique en 2017, contribue à veiller à la bonne coordination des investissements des partenaires dans la sécurité sanitaire nationale et régionale du Pacifique. L’un des principaux objectifs du PaHSeC est d’aider les pays insulaires du Pacifique à </w:t>
      </w:r>
      <w:r w:rsidR="003B6BFE">
        <w:rPr>
          <w:lang w:val="fr"/>
        </w:rPr>
        <w:t>mettre en œuvre</w:t>
      </w:r>
      <w:r w:rsidRPr="003B6BFE">
        <w:rPr>
          <w:lang w:val="fr"/>
        </w:rPr>
        <w:t xml:space="preserve"> les quatre composantes du </w:t>
      </w:r>
      <w:hyperlink r:id="rId16" w:history="1">
        <w:r w:rsidRPr="003B6BFE">
          <w:rPr>
            <w:rStyle w:val="Hyperlink"/>
            <w:i/>
            <w:iCs/>
            <w:szCs w:val="22"/>
            <w:u w:val="none"/>
            <w:lang w:val="fr"/>
          </w:rPr>
          <w:t>Cadre de suivi et d’évaluation du RSI</w:t>
        </w:r>
      </w:hyperlink>
      <w:r w:rsidRPr="003B6BFE">
        <w:rPr>
          <w:lang w:val="fr"/>
        </w:rPr>
        <w:t xml:space="preserve">, à savoir le </w:t>
      </w:r>
      <w:hyperlink r:id="rId17" w:history="1">
        <w:r w:rsidRPr="003B6BFE">
          <w:rPr>
            <w:rStyle w:val="Hyperlink"/>
            <w:szCs w:val="22"/>
            <w:u w:val="none"/>
            <w:lang w:val="fr"/>
          </w:rPr>
          <w:t>Rapport annuel d’autoévaluation des États parties</w:t>
        </w:r>
      </w:hyperlink>
      <w:r w:rsidRPr="003B6BFE">
        <w:rPr>
          <w:lang w:val="fr"/>
        </w:rPr>
        <w:t xml:space="preserve"> (SPAR), obligatoire, et trois activités volontaires d’assurance et d’amélioration de la qualité</w:t>
      </w:r>
      <w:r w:rsidR="008A3E07" w:rsidRPr="003B6BFE">
        <w:rPr>
          <w:lang w:val="fr"/>
        </w:rPr>
        <w:t> </w:t>
      </w:r>
      <w:r w:rsidRPr="003B6BFE">
        <w:rPr>
          <w:lang w:val="fr"/>
        </w:rPr>
        <w:t>: le bilan post-intervention, les exercices de simulation et l’examen par les pairs dans le cadre de l’</w:t>
      </w:r>
      <w:hyperlink r:id="rId18" w:history="1">
        <w:r w:rsidRPr="003B6BFE">
          <w:rPr>
            <w:rStyle w:val="Hyperlink"/>
            <w:szCs w:val="22"/>
            <w:u w:val="none"/>
            <w:lang w:val="fr"/>
          </w:rPr>
          <w:t>évaluation extérieure conjointe</w:t>
        </w:r>
      </w:hyperlink>
      <w:r w:rsidR="008A3E07" w:rsidRPr="003B6BFE">
        <w:rPr>
          <w:rStyle w:val="Hyperlink"/>
          <w:szCs w:val="22"/>
          <w:u w:val="none"/>
          <w:lang w:val="fr"/>
        </w:rPr>
        <w:t xml:space="preserve"> </w:t>
      </w:r>
      <w:r w:rsidR="003B6BFE">
        <w:rPr>
          <w:lang w:val="fr"/>
        </w:rPr>
        <w:t>(JEE). En </w:t>
      </w:r>
      <w:r w:rsidRPr="003B6BFE">
        <w:rPr>
          <w:lang w:val="fr"/>
        </w:rPr>
        <w:t>avril</w:t>
      </w:r>
      <w:r w:rsidR="003B6BFE">
        <w:rPr>
          <w:lang w:val="fr"/>
        </w:rPr>
        <w:t> </w:t>
      </w:r>
      <w:r w:rsidRPr="003B6BFE">
        <w:rPr>
          <w:lang w:val="fr"/>
        </w:rPr>
        <w:t>2018, l’OMS a dispensé une formation sur le Cadre de suivi et d’évaluation du RSI à tous les partenaires de développement du PaHSeC afin d’accroître leur connaissance des exigences du RSI.</w:t>
      </w:r>
    </w:p>
    <w:p w:rsidR="003E6BFC" w:rsidRPr="003B6BFE" w:rsidRDefault="00A56F20" w:rsidP="00670A9D">
      <w:pPr>
        <w:pStyle w:val="Heading1"/>
        <w:numPr>
          <w:ilvl w:val="0"/>
          <w:numId w:val="18"/>
        </w:numPr>
      </w:pPr>
      <w:r w:rsidRPr="003B6BFE">
        <w:rPr>
          <w:lang w:val="fr"/>
        </w:rPr>
        <w:t>PROGRÈS ET RÉALISATIONS</w:t>
      </w:r>
    </w:p>
    <w:p w:rsidR="004345DB" w:rsidRPr="003B6BFE" w:rsidRDefault="00A56F20" w:rsidP="00DA5BFB">
      <w:pPr>
        <w:rPr>
          <w:lang w:val="fr-FR"/>
        </w:rPr>
      </w:pPr>
      <w:r w:rsidRPr="003B6BFE">
        <w:rPr>
          <w:lang w:val="fr"/>
        </w:rPr>
        <w:t>S’appuyant sur les efforts et les réalisations antérieurs, la région du Pacifique a continué de voir des améliorations dans la</w:t>
      </w:r>
      <w:r w:rsidR="003B6BFE">
        <w:rPr>
          <w:lang w:val="fr"/>
        </w:rPr>
        <w:t> mise en œuvre</w:t>
      </w:r>
      <w:r w:rsidRPr="003B6BFE">
        <w:rPr>
          <w:lang w:val="fr"/>
        </w:rPr>
        <w:t xml:space="preserve"> du RSI (2005) depuis le début des autoévaluations en 2010. Ces progrès ont été réalisés en partie grâce à des investissements ciblés dans la sécurité sanitaire ainsi qu’à des améliorations découlant d’efforts plus larges de renforcement du système de santé, notamment concernant la préparation, la surveillance et l’intervention en cas d’urgence, la capacité des laboratoires, la prestation de soins de santé sûrs (prévention et maîtrise des infections et gestion de la résistance aux antimicrobiens), la sécurité sanitaire des aliments et les ressources humaines pour la santé. </w:t>
      </w:r>
    </w:p>
    <w:p w:rsidR="003E6BFC" w:rsidRPr="003B6BFE" w:rsidRDefault="00A56F20" w:rsidP="00DA5BFB">
      <w:pPr>
        <w:rPr>
          <w:lang w:val="fr-FR"/>
        </w:rPr>
      </w:pPr>
      <w:r w:rsidRPr="003B6BFE">
        <w:rPr>
          <w:lang w:val="fr"/>
        </w:rPr>
        <w:t>Le rapport de situation suivant, structuré selon les quatre domaines d’action du PaHSeC, ne dresse pas une liste exhaustive des réalisations en matière de renforcement de la sécurité sanitaire, mais vise plutôt à fournir des exemples concrets des progrès découlant d’une action collective. D’autres exemples sont donnés en annexe.</w:t>
      </w:r>
    </w:p>
    <w:p w:rsidR="00C03CEB" w:rsidRPr="003B6BFE" w:rsidRDefault="00A56F20" w:rsidP="00DA5BFB">
      <w:pPr>
        <w:pStyle w:val="Heading2"/>
        <w:rPr>
          <w:lang w:val="fr-FR"/>
        </w:rPr>
      </w:pPr>
      <w:r w:rsidRPr="003B6BFE">
        <w:rPr>
          <w:lang w:val="fr"/>
        </w:rPr>
        <w:t>Domaine d’action</w:t>
      </w:r>
      <w:r w:rsidR="008A3E07" w:rsidRPr="003B6BFE">
        <w:rPr>
          <w:lang w:val="fr"/>
        </w:rPr>
        <w:t> </w:t>
      </w:r>
      <w:r w:rsidRPr="003B6BFE">
        <w:rPr>
          <w:lang w:val="fr"/>
        </w:rPr>
        <w:t>1</w:t>
      </w:r>
      <w:r w:rsidR="008A3E07" w:rsidRPr="003B6BFE">
        <w:rPr>
          <w:lang w:val="fr"/>
        </w:rPr>
        <w:t> </w:t>
      </w:r>
      <w:r w:rsidRPr="003B6BFE">
        <w:rPr>
          <w:lang w:val="fr"/>
        </w:rPr>
        <w:t>: Amélioration de la préparation et de la prévention face aux menaces de sécurité sanitaire au niveau national</w:t>
      </w:r>
    </w:p>
    <w:p w:rsidR="00FB08A4" w:rsidRPr="003B6BFE" w:rsidRDefault="00A56F20" w:rsidP="00DA5BFB">
      <w:pPr>
        <w:rPr>
          <w:lang w:val="fr-FR"/>
        </w:rPr>
      </w:pPr>
      <w:r w:rsidRPr="003B6BFE">
        <w:rPr>
          <w:lang w:val="fr"/>
        </w:rPr>
        <w:t>Le financement du PaHSeC par les ministères des affaires étrangères et du commerce de l’Australie (DFAT) et de la Nouvelle-Zélande (MFAT) a soutenu les activités suivantes</w:t>
      </w:r>
      <w:r w:rsidR="008A3E07" w:rsidRPr="003B6BFE">
        <w:rPr>
          <w:lang w:val="fr"/>
        </w:rPr>
        <w:t> </w:t>
      </w:r>
      <w:r w:rsidRPr="003B6BFE">
        <w:rPr>
          <w:lang w:val="fr"/>
        </w:rPr>
        <w:t>: cinq ateliers de formation visant à renforcer les capacités des points focaux nationaux RSI (PFN) et à encourager la coordination et la communication multisectorielles dans cinq pays insulaires du Pacifique</w:t>
      </w:r>
      <w:r w:rsidR="008A3E07" w:rsidRPr="003B6BFE">
        <w:rPr>
          <w:lang w:val="fr"/>
        </w:rPr>
        <w:t> </w:t>
      </w:r>
      <w:r w:rsidRPr="003B6BFE">
        <w:rPr>
          <w:lang w:val="fr"/>
        </w:rPr>
        <w:t>; cinq activités nationales et deux activités multinationales visant à renforcer les systèmes de surveillance et d’information sanitaire</w:t>
      </w:r>
      <w:r w:rsidR="008A3E07" w:rsidRPr="003B6BFE">
        <w:rPr>
          <w:lang w:val="fr"/>
        </w:rPr>
        <w:t>s </w:t>
      </w:r>
      <w:r w:rsidRPr="003B6BFE">
        <w:rPr>
          <w:lang w:val="fr"/>
        </w:rPr>
        <w:t>; 11 activités visant à combattre la résistance aux antimicrobiens (RAM) et les infections liées aux soins médicaux causées par les micro-organismes multirésistants, dont la formulation de politiques et de procédures nationales et le développement accéléré des compétences du personnel</w:t>
      </w:r>
      <w:r w:rsidR="008A3E07" w:rsidRPr="003B6BFE">
        <w:rPr>
          <w:lang w:val="fr"/>
        </w:rPr>
        <w:t> </w:t>
      </w:r>
      <w:r w:rsidRPr="003B6BFE">
        <w:rPr>
          <w:lang w:val="fr"/>
        </w:rPr>
        <w:t>; six ateliers de formation visant à renforcer la</w:t>
      </w:r>
      <w:r w:rsidR="003B6BFE">
        <w:rPr>
          <w:lang w:val="fr"/>
        </w:rPr>
        <w:t> mise en œuvre</w:t>
      </w:r>
      <w:r w:rsidRPr="003B6BFE">
        <w:rPr>
          <w:lang w:val="fr"/>
        </w:rPr>
        <w:t xml:space="preserve"> de l’approche </w:t>
      </w:r>
      <w:r w:rsidRPr="003B6BFE">
        <w:rPr>
          <w:i/>
          <w:iCs/>
          <w:lang w:val="fr"/>
        </w:rPr>
        <w:t xml:space="preserve">One Health </w:t>
      </w:r>
      <w:r w:rsidRPr="003B6BFE">
        <w:rPr>
          <w:lang w:val="fr"/>
        </w:rPr>
        <w:t>des zoonoses et de la RAM</w:t>
      </w:r>
      <w:r w:rsidR="008A3E07" w:rsidRPr="003B6BFE">
        <w:rPr>
          <w:lang w:val="fr"/>
        </w:rPr>
        <w:t> </w:t>
      </w:r>
      <w:r w:rsidRPr="003B6BFE">
        <w:rPr>
          <w:lang w:val="fr"/>
        </w:rPr>
        <w:t>; des activités dans trois pays visant à élaborer ou réviser leurs directives et procédures opérationnelles nationales en matière de communication des risques</w:t>
      </w:r>
      <w:r w:rsidR="008A3E07" w:rsidRPr="003B6BFE">
        <w:rPr>
          <w:lang w:val="fr"/>
        </w:rPr>
        <w:t> </w:t>
      </w:r>
      <w:r w:rsidRPr="003B6BFE">
        <w:rPr>
          <w:lang w:val="fr"/>
        </w:rPr>
        <w:t>; un exercice de simulation de communication des risques et le développement des compétences en communication des risques dans six pays</w:t>
      </w:r>
      <w:r w:rsidR="008A3E07" w:rsidRPr="003B6BFE">
        <w:rPr>
          <w:lang w:val="fr"/>
        </w:rPr>
        <w:t> </w:t>
      </w:r>
      <w:r w:rsidRPr="003B6BFE">
        <w:rPr>
          <w:lang w:val="fr"/>
        </w:rPr>
        <w:t>; deux activités visant à renforcer les capacités requises aux points d’entrée désignés</w:t>
      </w:r>
      <w:r w:rsidR="008A3E07" w:rsidRPr="003B6BFE">
        <w:rPr>
          <w:lang w:val="fr"/>
        </w:rPr>
        <w:t> </w:t>
      </w:r>
      <w:r w:rsidRPr="003B6BFE">
        <w:rPr>
          <w:lang w:val="fr"/>
        </w:rPr>
        <w:t xml:space="preserve">; 17 autoévaluations des capacités de vaccination utilisant l’évaluation extérieure conjointe et la présentation des résultats à la </w:t>
      </w:r>
      <w:hyperlink r:id="rId19" w:history="1">
        <w:r w:rsidRPr="003B6BFE">
          <w:rPr>
            <w:rStyle w:val="Hyperlink"/>
            <w:u w:val="none"/>
            <w:lang w:val="fr"/>
          </w:rPr>
          <w:t>dixième réunion des directeurs de programme de vaccination du Pacifique</w:t>
        </w:r>
      </w:hyperlink>
      <w:r w:rsidRPr="003B6BFE">
        <w:rPr>
          <w:lang w:val="fr"/>
        </w:rPr>
        <w:t xml:space="preserve"> tenue à Nadi (Fidji) du 30</w:t>
      </w:r>
      <w:r w:rsidR="008A3E07" w:rsidRPr="003B6BFE">
        <w:rPr>
          <w:lang w:val="fr"/>
        </w:rPr>
        <w:t> </w:t>
      </w:r>
      <w:r w:rsidRPr="003B6BFE">
        <w:rPr>
          <w:lang w:val="fr"/>
        </w:rPr>
        <w:t>juillet au 3</w:t>
      </w:r>
      <w:r w:rsidR="008A3E07" w:rsidRPr="003B6BFE">
        <w:rPr>
          <w:lang w:val="fr"/>
        </w:rPr>
        <w:t> </w:t>
      </w:r>
      <w:r w:rsidRPr="003B6BFE">
        <w:rPr>
          <w:lang w:val="fr"/>
        </w:rPr>
        <w:t>août 2018</w:t>
      </w:r>
      <w:r w:rsidR="008A3E07" w:rsidRPr="003B6BFE">
        <w:rPr>
          <w:lang w:val="fr"/>
        </w:rPr>
        <w:t> </w:t>
      </w:r>
      <w:r w:rsidRPr="003B6BFE">
        <w:rPr>
          <w:lang w:val="fr"/>
        </w:rPr>
        <w:t>; et cinq ateliers nationaux de préparation aux situations d’urgence visant à aider les pays insulaires du Pacifique à planifier et renforcer leurs capacités d’intervention.</w:t>
      </w:r>
    </w:p>
    <w:p w:rsidR="006B2F2F" w:rsidRPr="003B6BFE" w:rsidRDefault="00A56F20" w:rsidP="00DA5BFB">
      <w:pPr>
        <w:rPr>
          <w:lang w:val="fr-FR"/>
        </w:rPr>
      </w:pPr>
      <w:r w:rsidRPr="003B6BFE">
        <w:rPr>
          <w:lang w:val="fr"/>
        </w:rPr>
        <w:t>L’atelier sur le financement de la sécurité sanitaire, tenu à Kiribati en juin 2018, est un exemple concret d’appui coordonné fourni dans le pays. Cet atelier a été animé par la Banque mondiale avec l’appui technique de la Communauté du Pacifique (CPS) et de l’OMS. Les discussions constructives menées dans ce cadre ont permis à Kiribati d’identifier et de chiffrer ses principales priorités nationales en matière de renforcement de la sécurité sanitaire et d’élaborer des plans pour financer ces activités dans ses futurs budgets nationaux et supplémentaires. Cet atelier a été précédé d’un exercice de simulation d’intervention en cas de catastrophe animé par l’OMS et appuyé par les deux autres partenaires.</w:t>
      </w:r>
    </w:p>
    <w:p w:rsidR="00C03CEB" w:rsidRPr="003B6BFE" w:rsidRDefault="00A56F20" w:rsidP="00DA5BFB">
      <w:pPr>
        <w:pStyle w:val="Heading2"/>
        <w:rPr>
          <w:lang w:val="fr-FR"/>
        </w:rPr>
      </w:pPr>
      <w:r w:rsidRPr="003B6BFE">
        <w:rPr>
          <w:lang w:val="fr"/>
        </w:rPr>
        <w:t>Domaine d’action</w:t>
      </w:r>
      <w:r w:rsidR="008A3E07" w:rsidRPr="003B6BFE">
        <w:rPr>
          <w:lang w:val="fr"/>
        </w:rPr>
        <w:t> </w:t>
      </w:r>
      <w:r w:rsidRPr="003B6BFE">
        <w:rPr>
          <w:lang w:val="fr"/>
        </w:rPr>
        <w:t>2</w:t>
      </w:r>
      <w:r w:rsidR="008A3E07" w:rsidRPr="003B6BFE">
        <w:rPr>
          <w:lang w:val="fr"/>
        </w:rPr>
        <w:t> </w:t>
      </w:r>
      <w:r w:rsidRPr="003B6BFE">
        <w:rPr>
          <w:lang w:val="fr"/>
        </w:rPr>
        <w:t>: Renforcement des interventions nationales face aux épidémies et aux urgences sanitaires soudaines</w:t>
      </w:r>
    </w:p>
    <w:p w:rsidR="009C7ACB" w:rsidRPr="003B6BFE" w:rsidRDefault="00A56F20" w:rsidP="00DA5BFB">
      <w:pPr>
        <w:rPr>
          <w:lang w:val="fr-FR"/>
        </w:rPr>
      </w:pPr>
      <w:r w:rsidRPr="003B6BFE">
        <w:rPr>
          <w:lang w:val="fr"/>
        </w:rPr>
        <w:t>Lors de la 128</w:t>
      </w:r>
      <w:r w:rsidRPr="003B6BFE">
        <w:rPr>
          <w:vertAlign w:val="superscript"/>
          <w:lang w:val="fr"/>
        </w:rPr>
        <w:t>e</w:t>
      </w:r>
      <w:r w:rsidRPr="003B6BFE">
        <w:rPr>
          <w:lang w:val="fr"/>
        </w:rPr>
        <w:t xml:space="preserve"> session du Conseil exécutif de l’OMS, en janvier 2011, les </w:t>
      </w:r>
      <w:r w:rsidR="003B6BFE">
        <w:rPr>
          <w:lang w:val="fr"/>
        </w:rPr>
        <w:t>États Membres</w:t>
      </w:r>
      <w:r w:rsidRPr="003B6BFE">
        <w:rPr>
          <w:lang w:val="fr"/>
        </w:rPr>
        <w:t xml:space="preserve"> ont été instamment priés « de renforcer le rôle que jouent les agents de santé locaux dans les dispositifs de gestion des urgences sanitaires de manière à garantir un encadrement et des prestations de santé au niveau local par une amélioration de la planification, de la formation et de l’accès à d’autres ressources » (</w:t>
      </w:r>
      <w:hyperlink r:id="rId20" w:history="1">
        <w:r w:rsidRPr="003B6BFE">
          <w:rPr>
            <w:rStyle w:val="Hyperlink"/>
            <w:u w:val="none"/>
            <w:lang w:val="fr"/>
          </w:rPr>
          <w:t>EB128.R10</w:t>
        </w:r>
      </w:hyperlink>
      <w:r w:rsidRPr="003B6BFE">
        <w:rPr>
          <w:lang w:val="fr"/>
        </w:rPr>
        <w:t xml:space="preserve">). </w:t>
      </w:r>
    </w:p>
    <w:p w:rsidR="00073740" w:rsidRPr="003B6BFE" w:rsidRDefault="00A56F20" w:rsidP="00DA5BFB">
      <w:pPr>
        <w:rPr>
          <w:lang w:val="fr-FR"/>
        </w:rPr>
      </w:pPr>
      <w:r w:rsidRPr="003B6BFE">
        <w:rPr>
          <w:lang w:val="fr"/>
        </w:rPr>
        <w:t xml:space="preserve">Les autorités sanitaires nationales des Îles Cook, des Fidji, des Îles Salomon, des Tonga et de Vanuatu, avec l’appui de l’OMS, de l’Australie et de la Nouvelle-Zélande, forment et financent des </w:t>
      </w:r>
      <w:hyperlink r:id="rId21" w:history="1">
        <w:r w:rsidRPr="003B6BFE">
          <w:rPr>
            <w:rStyle w:val="Hyperlink"/>
            <w:u w:val="none"/>
            <w:lang w:val="fr"/>
          </w:rPr>
          <w:t>équipes médicales d’urgence</w:t>
        </w:r>
      </w:hyperlink>
      <w:r w:rsidRPr="003B6BFE">
        <w:rPr>
          <w:lang w:val="fr"/>
        </w:rPr>
        <w:t xml:space="preserve"> nationales pour assurer le déploiement rapide de personnel médical formé, équipé et de qualité en cas d’urgence nationale. L’équipe d’assistance médicale d’urgence des Fidji (FEMAT) est devenue, le 11</w:t>
      </w:r>
      <w:r w:rsidR="00C35463">
        <w:rPr>
          <w:lang w:val="fr"/>
        </w:rPr>
        <w:t> </w:t>
      </w:r>
      <w:r w:rsidRPr="003B6BFE">
        <w:rPr>
          <w:lang w:val="fr"/>
        </w:rPr>
        <w:t>mai</w:t>
      </w:r>
      <w:r w:rsidR="00C35463">
        <w:rPr>
          <w:lang w:val="fr"/>
        </w:rPr>
        <w:t> </w:t>
      </w:r>
      <w:r w:rsidRPr="003B6BFE">
        <w:rPr>
          <w:lang w:val="fr"/>
        </w:rPr>
        <w:t xml:space="preserve">2019, la première équipe médicale d’urgence internationalement vérifiée dans le Pacifique. D’autres pays insulaires du Pacifique ont exprimé le désir de </w:t>
      </w:r>
      <w:r w:rsidR="003B6BFE">
        <w:rPr>
          <w:lang w:val="fr"/>
        </w:rPr>
        <w:t>mettre en œuvre</w:t>
      </w:r>
      <w:r w:rsidRPr="003B6BFE">
        <w:rPr>
          <w:lang w:val="fr"/>
        </w:rPr>
        <w:t xml:space="preserve"> cette initiative.</w:t>
      </w:r>
    </w:p>
    <w:p w:rsidR="00E66127" w:rsidRPr="003B6BFE" w:rsidRDefault="00A56F20" w:rsidP="00DA5BFB">
      <w:pPr>
        <w:rPr>
          <w:lang w:val="fr-FR"/>
        </w:rPr>
      </w:pPr>
      <w:r w:rsidRPr="003B6BFE">
        <w:rPr>
          <w:lang w:val="fr"/>
        </w:rPr>
        <w:t xml:space="preserve">Les pays insulaires du Pacifique ont organisé plus de 25 activités de perfectionnement professionnel pour renforcer les capacités essentielles de détection et d’intervention en matière de santé publique, notamment de surveillance, de communication des risques, de laboratoires et de mécanismes d’intervention d’urgence, y compris les structures de gestion des incidents (IMS) et les centres d’opérations d’urgence (EOC). </w:t>
      </w:r>
    </w:p>
    <w:p w:rsidR="00444F56" w:rsidRPr="003B6BFE" w:rsidRDefault="00A56F20" w:rsidP="00DA5BFB">
      <w:pPr>
        <w:rPr>
          <w:lang w:val="fr-FR"/>
        </w:rPr>
      </w:pPr>
      <w:r w:rsidRPr="003B6BFE">
        <w:rPr>
          <w:lang w:val="fr"/>
        </w:rPr>
        <w:t>Neuf politiques et plans liés aux risques d’infection ou à la gestion des risques liés aux urgences ont été élaborés ou actualisés par les pays insulaires du Pacifique et le</w:t>
      </w:r>
      <w:r w:rsidR="00791CFA">
        <w:rPr>
          <w:lang w:val="fr"/>
        </w:rPr>
        <w:t>s partenaires régionaux en 2017</w:t>
      </w:r>
      <w:r w:rsidR="00791CFA">
        <w:rPr>
          <w:lang w:val="fr"/>
        </w:rPr>
        <w:noBreakHyphen/>
      </w:r>
      <w:r w:rsidRPr="003B6BFE">
        <w:rPr>
          <w:lang w:val="fr"/>
        </w:rPr>
        <w:t xml:space="preserve">2018. Il s’agit notamment des Directives de prévention et de maîtrise des infections du ROSSP, des Directives de communication des risques des Fidji, du Plan d’action national sur la RAM et des Directives de prévention et de maîtrise des infections de Vanuatu, ainsi que du Plan de lutte contre les pandémies des Îles Salomon. Les pays insulaires du Pacifique ont demandé un appui en vue de l’achat de ressources, telles que des tests de diagnostic rapide, des réactifs de laboratoire et des équipements de protection individuelle, afin de renforcer les systèmes de surveillance (par exemple, la surveillance de la grippe aux Îles Salomon) et les systèmes de gestion de la qualité des laboratoires. </w:t>
      </w:r>
    </w:p>
    <w:p w:rsidR="00192B51" w:rsidRPr="003B6BFE" w:rsidRDefault="00A56F20" w:rsidP="00DA5BFB">
      <w:pPr>
        <w:rPr>
          <w:lang w:val="fr-FR"/>
        </w:rPr>
      </w:pPr>
      <w:r w:rsidRPr="003B6BFE">
        <w:rPr>
          <w:lang w:val="fr"/>
        </w:rPr>
        <w:t xml:space="preserve">En réponse aux demandes de formation en communication des risques formulées par les responsables de la santé du Pacifique, les partenaires techniques du PaHSeC </w:t>
      </w:r>
      <w:r w:rsidR="008A3E07" w:rsidRPr="003B6BFE">
        <w:rPr>
          <w:lang w:val="fr"/>
        </w:rPr>
        <w:t>–</w:t>
      </w:r>
      <w:r w:rsidRPr="003B6BFE">
        <w:rPr>
          <w:lang w:val="fr"/>
        </w:rPr>
        <w:t xml:space="preserve"> les Centres de lutte contre la maladie (CDC), l’Association océanienne des fonctionnaires des services de santé (PIHOA), la CPS et l’OMS </w:t>
      </w:r>
      <w:r w:rsidR="008A3E07" w:rsidRPr="003B6BFE">
        <w:rPr>
          <w:lang w:val="fr"/>
        </w:rPr>
        <w:t>–</w:t>
      </w:r>
      <w:r w:rsidRPr="003B6BFE">
        <w:rPr>
          <w:lang w:val="fr"/>
        </w:rPr>
        <w:t xml:space="preserve"> ont élaboré conjointement un programme de formation devant être dispensé sous la forme d’ateliers pour aider les ministères de la santé et les autres secteurs gouvernementaux à renforcer leurs capacités nationales de co</w:t>
      </w:r>
      <w:r w:rsidR="00635058">
        <w:rPr>
          <w:lang w:val="fr"/>
        </w:rPr>
        <w:t>mmunication des risques. Les 13 </w:t>
      </w:r>
      <w:r w:rsidRPr="003B6BFE">
        <w:rPr>
          <w:lang w:val="fr"/>
        </w:rPr>
        <w:t>et</w:t>
      </w:r>
      <w:r w:rsidR="00635058">
        <w:rPr>
          <w:lang w:val="fr"/>
        </w:rPr>
        <w:t> </w:t>
      </w:r>
      <w:r w:rsidRPr="003B6BFE">
        <w:rPr>
          <w:lang w:val="fr"/>
        </w:rPr>
        <w:t>14</w:t>
      </w:r>
      <w:r w:rsidR="00635058">
        <w:rPr>
          <w:lang w:val="fr"/>
        </w:rPr>
        <w:t> </w:t>
      </w:r>
      <w:r w:rsidRPr="003B6BFE">
        <w:rPr>
          <w:lang w:val="fr"/>
        </w:rPr>
        <w:t>juin</w:t>
      </w:r>
      <w:r w:rsidR="00635058">
        <w:rPr>
          <w:lang w:val="fr"/>
        </w:rPr>
        <w:t> </w:t>
      </w:r>
      <w:r w:rsidRPr="003B6BFE">
        <w:rPr>
          <w:lang w:val="fr"/>
        </w:rPr>
        <w:t>2019, ce programme a été mis à l’essai à Guam pour des participants des Samoa américaines, de Guam, des Îles Marshall, des États fédérés de Micronésie, du Commonwealth des îles Mariannes du Nord et des Palaos.</w:t>
      </w:r>
    </w:p>
    <w:p w:rsidR="00C03CEB" w:rsidRPr="003B6BFE" w:rsidRDefault="00A56F20" w:rsidP="00DA5BFB">
      <w:pPr>
        <w:pStyle w:val="Heading2"/>
        <w:rPr>
          <w:lang w:val="fr-FR"/>
        </w:rPr>
      </w:pPr>
      <w:r w:rsidRPr="003B6BFE">
        <w:rPr>
          <w:lang w:val="fr"/>
        </w:rPr>
        <w:t>Domaine d’action</w:t>
      </w:r>
      <w:r w:rsidR="008A3E07" w:rsidRPr="003B6BFE">
        <w:rPr>
          <w:lang w:val="fr"/>
        </w:rPr>
        <w:t> </w:t>
      </w:r>
      <w:r w:rsidRPr="003B6BFE">
        <w:rPr>
          <w:lang w:val="fr"/>
        </w:rPr>
        <w:t>3</w:t>
      </w:r>
      <w:r w:rsidR="008A3E07" w:rsidRPr="003B6BFE">
        <w:rPr>
          <w:lang w:val="fr"/>
        </w:rPr>
        <w:t> </w:t>
      </w:r>
      <w:r w:rsidRPr="003B6BFE">
        <w:rPr>
          <w:lang w:val="fr"/>
        </w:rPr>
        <w:t>: Évaluation objective de la</w:t>
      </w:r>
      <w:r w:rsidR="003B6BFE">
        <w:rPr>
          <w:lang w:val="fr"/>
        </w:rPr>
        <w:t> mise en œuvre</w:t>
      </w:r>
      <w:r w:rsidRPr="003B6BFE">
        <w:rPr>
          <w:lang w:val="fr"/>
        </w:rPr>
        <w:t xml:space="preserve"> du Règlement sanitaire international (2005) à l’aide du Cadre de suivi et d’évaluation du RSI</w:t>
      </w:r>
    </w:p>
    <w:p w:rsidR="001F764C" w:rsidRPr="003B6BFE" w:rsidRDefault="00A56F20" w:rsidP="00DA5BFB">
      <w:pPr>
        <w:rPr>
          <w:lang w:val="fr-FR"/>
        </w:rPr>
      </w:pPr>
      <w:r w:rsidRPr="003B6BFE">
        <w:rPr>
          <w:lang w:val="fr"/>
        </w:rPr>
        <w:t xml:space="preserve">Les pays insulaires du Pacifique ont redoublé d’efforts en 2017 et 2018 pour </w:t>
      </w:r>
      <w:r w:rsidR="003B6BFE">
        <w:rPr>
          <w:lang w:val="fr"/>
        </w:rPr>
        <w:t>mettre en œuvre</w:t>
      </w:r>
      <w:r w:rsidRPr="003B6BFE">
        <w:rPr>
          <w:lang w:val="fr"/>
        </w:rPr>
        <w:t xml:space="preserve"> le Cadre de suivi et d’évaluation du RSI. L’Australie a achevé sa première évaluation extérieure conjointe en 2017</w:t>
      </w:r>
      <w:r w:rsidR="008A3E07" w:rsidRPr="003B6BFE">
        <w:rPr>
          <w:lang w:val="fr"/>
        </w:rPr>
        <w:t> </w:t>
      </w:r>
      <w:r w:rsidRPr="003B6BFE">
        <w:rPr>
          <w:lang w:val="fr"/>
        </w:rPr>
        <w:t>; elle a été suivie en 2018 par les États fédérés de Micronésie et la Nouvelle-Zélande</w:t>
      </w:r>
      <w:r w:rsidRPr="003B6BFE">
        <w:rPr>
          <w:rStyle w:val="FootnoteReference"/>
          <w:rFonts w:ascii="Calibri" w:hAnsi="Calibri" w:cs="Calibri"/>
          <w:lang w:val="fr"/>
        </w:rPr>
        <w:footnoteReference w:id="3"/>
      </w:r>
      <w:r w:rsidRPr="003B6BFE">
        <w:rPr>
          <w:lang w:val="fr"/>
        </w:rPr>
        <w:t>. L’OMS a facilité la participation d’observateurs de cinq pays insulaires du Pacifique aux évaluations extérieures conjointes aux États fédérés de Micronésie (Îles Marshall et Palaos) et en Nouvelle-Zélande (Îles Cook, Fidji et Vanuatu), et l’expert de laboratoire de l’équipe des États fédérés de Micronésie a participé en tant que membre extérieur, dans le cadre d’une convention de jumelage avec la sous-région des Caraïbes, à l’évaluation de la Grenade, couvrant la RAM, la sécurité et la sûreté biologique et le système national de laboratoires. Les Îles Marshall et les Palaos devraient organiser des évaluations extérieures conjointes en 2019.</w:t>
      </w:r>
    </w:p>
    <w:p w:rsidR="001F764C" w:rsidRPr="003B6BFE" w:rsidRDefault="00A56F20" w:rsidP="001A3C05">
      <w:pPr>
        <w:rPr>
          <w:lang w:val="fr-FR"/>
        </w:rPr>
      </w:pPr>
      <w:r w:rsidRPr="003B6BFE">
        <w:rPr>
          <w:lang w:val="fr"/>
        </w:rPr>
        <w:t xml:space="preserve">En 2018, l’OMS a aidé 12 des 13 États du Pacifique parties au RSI (2005) à établir leurs rapports annuels obligatoires en utilisant le nouvel </w:t>
      </w:r>
      <w:hyperlink r:id="rId22" w:history="1">
        <w:r w:rsidRPr="003B6BFE">
          <w:rPr>
            <w:rStyle w:val="Hyperlink"/>
            <w:u w:val="none"/>
            <w:lang w:val="fr"/>
          </w:rPr>
          <w:t>outil SPAR</w:t>
        </w:r>
      </w:hyperlink>
      <w:r w:rsidRPr="003B6BFE">
        <w:rPr>
          <w:rStyle w:val="FootnoteReference"/>
          <w:rFonts w:ascii="Calibri" w:hAnsi="Calibri" w:cs="Calibri"/>
          <w:lang w:val="fr"/>
        </w:rPr>
        <w:footnoteReference w:id="4"/>
      </w:r>
      <w:r w:rsidRPr="003B6BFE">
        <w:rPr>
          <w:lang w:val="fr"/>
        </w:rPr>
        <w:t>, présenté à l’annexe</w:t>
      </w:r>
      <w:r w:rsidR="008A3E07" w:rsidRPr="003B6BFE">
        <w:rPr>
          <w:lang w:val="fr"/>
        </w:rPr>
        <w:t> </w:t>
      </w:r>
      <w:r w:rsidRPr="003B6BFE">
        <w:rPr>
          <w:lang w:val="fr"/>
        </w:rPr>
        <w:t>1. Les rapports d’autoévaluation ont été préparés en collaboration avec d’autres secteurs, souvent pour la première fois, ce qui a permis d’établir des rapports plus représentatifs et plus équilibrés sur les principales capacités nationales requises et de renforcer les relations intersectorielles. Les résultats du SPAR sont présentés à l’annexe</w:t>
      </w:r>
      <w:r w:rsidR="008A3E07" w:rsidRPr="003B6BFE">
        <w:rPr>
          <w:lang w:val="fr"/>
        </w:rPr>
        <w:t> </w:t>
      </w:r>
      <w:r w:rsidRPr="003B6BFE">
        <w:rPr>
          <w:lang w:val="fr"/>
        </w:rPr>
        <w:t xml:space="preserve">2 et sont publiés sur le portail du </w:t>
      </w:r>
      <w:hyperlink r:id="rId23" w:history="1">
        <w:r w:rsidRPr="003B6BFE">
          <w:rPr>
            <w:rStyle w:val="Hyperlink"/>
            <w:u w:val="none"/>
            <w:lang w:val="fr"/>
          </w:rPr>
          <w:t>Partenariat stratégique pour le RSI (2005) et la sécurité sanitaire</w:t>
        </w:r>
      </w:hyperlink>
      <w:r w:rsidRPr="003B6BFE">
        <w:rPr>
          <w:lang w:val="fr"/>
        </w:rPr>
        <w:t xml:space="preserve">. Ces résultats sont utilisés par les pays insulaires du Pacifique pour élaborer des plans d’action nationaux pour la sécurité sanitaire afin de combler les lacunes identifiées et de prioriser l’affectation des ressources. </w:t>
      </w:r>
    </w:p>
    <w:p w:rsidR="007A4453" w:rsidRPr="003B6BFE" w:rsidRDefault="00A56F20" w:rsidP="00DA5BFB">
      <w:pPr>
        <w:rPr>
          <w:lang w:val="fr-FR"/>
        </w:rPr>
      </w:pPr>
      <w:r w:rsidRPr="003B6BFE">
        <w:rPr>
          <w:lang w:val="fr"/>
        </w:rPr>
        <w:t>Le nombre de pays insulaires du Pacifique qui produisent le SPAR et le nombre de ceux qui réalisent une évaluation extérieure conjointe au cours d’une année donnée sont deux indicateurs de performance du cadre de suivi et d’évaluation du PaHSeC. Le nombre de pays ayant achevé leur autoévaluation annuelle a augmenté de 71</w:t>
      </w:r>
      <w:r w:rsidR="008A3E07" w:rsidRPr="003B6BFE">
        <w:rPr>
          <w:lang w:val="fr"/>
        </w:rPr>
        <w:t> </w:t>
      </w:r>
      <w:r w:rsidRPr="003B6BFE">
        <w:rPr>
          <w:lang w:val="fr"/>
        </w:rPr>
        <w:t>% entre 2017 et 2018 (12 contre 7 des 13 États parties du Pacifique), soit un niveau de référence élevé pour l’avenir. Sur les 23 États parties de la Région du Pacifique occidental qui ont produit le SPAR en 2018, sur un total possible de 27, les pays insulaires du Pacifique représentaient 52</w:t>
      </w:r>
      <w:r w:rsidR="008A3E07" w:rsidRPr="003B6BFE">
        <w:rPr>
          <w:lang w:val="fr"/>
        </w:rPr>
        <w:t> </w:t>
      </w:r>
      <w:r w:rsidRPr="003B6BFE">
        <w:rPr>
          <w:lang w:val="fr"/>
        </w:rPr>
        <w:t>% des soumissions. Lors de la réunion régionale du ROSSP, qui s’est tenue du 3 au 7</w:t>
      </w:r>
      <w:r w:rsidR="008A3E07" w:rsidRPr="003B6BFE">
        <w:rPr>
          <w:lang w:val="fr"/>
        </w:rPr>
        <w:t> </w:t>
      </w:r>
      <w:r w:rsidRPr="003B6BFE">
        <w:rPr>
          <w:lang w:val="fr"/>
        </w:rPr>
        <w:t xml:space="preserve">juin 2019, les membres du Réseau sont convenus que l’évaluation extérieure conjointe incite les pays à améliorer leurs capacités requises au titre du RSI et à mobiliser les ressources nécessaires. </w:t>
      </w:r>
    </w:p>
    <w:p w:rsidR="00E338FB" w:rsidRPr="003B6BFE" w:rsidRDefault="00A56F20" w:rsidP="00DA5BFB">
      <w:pPr>
        <w:rPr>
          <w:lang w:val="fr-FR"/>
        </w:rPr>
      </w:pPr>
      <w:r w:rsidRPr="003B6BFE">
        <w:rPr>
          <w:lang w:val="fr"/>
        </w:rPr>
        <w:t xml:space="preserve">L’OMS a facilité sept exercices nationaux de simulation dans le cadre des ateliers SPAR et de l’exercice régional RSI Crystal pour tester les systèmes nationaux de sécurité sanitaire et les fonctions et capacités des PFN en matière d’intervention d’urgence, respectivement. Les Fidji, Kiribati et Tuvalu ont également achevé leurs bilans post-intervention de quelques flambées épidémiques. Les CDC appuient également les exercices de simulation annuels et les bilans post-intervention menés dans les îles du Pacifique rattachées aux États-Unis dans le cadre de l’accord de coopération sur la préparation aux urgences de santé publique (PHEP). </w:t>
      </w:r>
    </w:p>
    <w:p w:rsidR="00914B18" w:rsidRPr="003B6BFE" w:rsidRDefault="00A56F20" w:rsidP="00DA5BFB">
      <w:pPr>
        <w:rPr>
          <w:lang w:val="fr-FR"/>
        </w:rPr>
      </w:pPr>
      <w:r w:rsidRPr="003B6BFE">
        <w:rPr>
          <w:lang w:val="fr"/>
        </w:rPr>
        <w:t>Les résultats du SPAR, ainsi que les rapports des évaluations extérieures conjointes et les rapports des bilans post-intervention et des exercices de simulation soumis au Secrétariat du RSI, sont publiés sur le portail du Partenariat stratégique pour le RSI (2005) et la sécurité sanitaire. Les données rétrospectives sur la</w:t>
      </w:r>
      <w:r w:rsidR="003B6BFE">
        <w:rPr>
          <w:lang w:val="fr"/>
        </w:rPr>
        <w:t> mise en œuvre</w:t>
      </w:r>
      <w:r w:rsidRPr="003B6BFE">
        <w:rPr>
          <w:lang w:val="fr"/>
        </w:rPr>
        <w:t xml:space="preserve"> du RSI obtenues en réponse au questionnai</w:t>
      </w:r>
      <w:r w:rsidR="00E81981">
        <w:rPr>
          <w:lang w:val="fr"/>
        </w:rPr>
        <w:t>re de suivi du RSI (2010</w:t>
      </w:r>
      <w:r w:rsidR="00E81981">
        <w:rPr>
          <w:lang w:val="fr"/>
        </w:rPr>
        <w:noBreakHyphen/>
      </w:r>
      <w:r w:rsidRPr="003B6BFE">
        <w:rPr>
          <w:lang w:val="fr"/>
        </w:rPr>
        <w:t>2017) sont disponibles sur le site de l’</w:t>
      </w:r>
      <w:hyperlink r:id="rId24" w:history="1">
        <w:r w:rsidRPr="003B6BFE">
          <w:rPr>
            <w:rStyle w:val="Hyperlink"/>
            <w:u w:val="none"/>
            <w:lang w:val="fr"/>
          </w:rPr>
          <w:t>Observatoire de la santé mondiale</w:t>
        </w:r>
      </w:hyperlink>
      <w:r w:rsidRPr="003B6BFE">
        <w:rPr>
          <w:lang w:val="fr"/>
        </w:rPr>
        <w:t xml:space="preserve">. </w:t>
      </w:r>
    </w:p>
    <w:p w:rsidR="00C03CEB" w:rsidRPr="003B6BFE" w:rsidRDefault="00A56F20" w:rsidP="00DA5BFB">
      <w:pPr>
        <w:pStyle w:val="Heading2"/>
        <w:rPr>
          <w:rFonts w:cs="Times New Roman"/>
          <w:lang w:val="fr-FR"/>
        </w:rPr>
      </w:pPr>
      <w:r w:rsidRPr="003B6BFE">
        <w:rPr>
          <w:rFonts w:cs="Times New Roman"/>
          <w:lang w:val="fr"/>
        </w:rPr>
        <w:t>Domaine d’action 4</w:t>
      </w:r>
      <w:r w:rsidR="008A3E07" w:rsidRPr="003B6BFE">
        <w:rPr>
          <w:rFonts w:cs="Times New Roman"/>
          <w:lang w:val="fr"/>
        </w:rPr>
        <w:t> </w:t>
      </w:r>
      <w:r w:rsidRPr="003B6BFE">
        <w:rPr>
          <w:rFonts w:cs="Times New Roman"/>
          <w:lang w:val="fr"/>
        </w:rPr>
        <w:t>: Renforcement des fonctions de préparation, d’alerte et d’intervention au niveau régional</w:t>
      </w:r>
    </w:p>
    <w:p w:rsidR="00D44207" w:rsidRPr="003B6BFE" w:rsidRDefault="00A56F20" w:rsidP="00DA5BFB">
      <w:pPr>
        <w:rPr>
          <w:lang w:val="fr-FR"/>
        </w:rPr>
      </w:pPr>
      <w:r w:rsidRPr="003B6BFE">
        <w:rPr>
          <w:lang w:val="fr"/>
        </w:rPr>
        <w:t xml:space="preserve">Des efforts continus ont été déployés pour renforcer et maintenir les fonctions régionales de préparation, d’alerte et d’intervention. Les membres et partenaires nationaux du ROSSP qui mettent en œuvre les six services qu’il propose – PacNet, LabNet, EpiNet, PICNet, le Système océanien de surveillance syndromique (PSSS) et le Recueil de données pour la prise de décision – Certificat de troisième cycle en épidémiologie de terrain (DDM-PGCFE), qui fait partie du programme </w:t>
      </w:r>
      <w:hyperlink r:id="rId25" w:history="1">
        <w:r w:rsidRPr="003B6BFE">
          <w:rPr>
            <w:rStyle w:val="Hyperlink"/>
            <w:u w:val="none"/>
            <w:lang w:val="fr"/>
          </w:rPr>
          <w:t>Renforcement des interventions de santé publique dans le Pacifique (SHIP)</w:t>
        </w:r>
      </w:hyperlink>
      <w:r w:rsidRPr="003B6BFE">
        <w:rPr>
          <w:lang w:val="fr"/>
        </w:rPr>
        <w:t>, aident les pays insulaires du Pacifique à mettre en place leurs principales capacités requises au titre du RSI dans le cadre de la</w:t>
      </w:r>
      <w:r w:rsidR="003B6BFE">
        <w:rPr>
          <w:lang w:val="fr"/>
        </w:rPr>
        <w:t> mise en œuvre</w:t>
      </w:r>
      <w:r w:rsidRPr="003B6BFE">
        <w:rPr>
          <w:lang w:val="fr"/>
        </w:rPr>
        <w:t xml:space="preserve"> de la SMEAP</w:t>
      </w:r>
      <w:r w:rsidR="008A3E07" w:rsidRPr="003B6BFE">
        <w:rPr>
          <w:lang w:val="fr"/>
        </w:rPr>
        <w:t> </w:t>
      </w:r>
      <w:r w:rsidRPr="003B6BFE">
        <w:rPr>
          <w:lang w:val="fr"/>
        </w:rPr>
        <w:t xml:space="preserve">III. </w:t>
      </w:r>
    </w:p>
    <w:p w:rsidR="00DB536C" w:rsidRPr="003B6BFE" w:rsidRDefault="00A56F20" w:rsidP="00DA5BFB">
      <w:pPr>
        <w:rPr>
          <w:lang w:val="fr-FR"/>
        </w:rPr>
      </w:pPr>
      <w:r w:rsidRPr="003B6BFE">
        <w:rPr>
          <w:lang w:val="fr"/>
        </w:rPr>
        <w:t>Pour renforcer les capacités des agents de surveillance des maladies infectieuses et des épidémiologistes du Pacifique, les partenaires du ROSSP (CDC, PIHOA, CPS et OMS) ont dispensé le DDM-PGCFE aux professionnels de la santé publique dans neuf pays insulaires du Pacifique</w:t>
      </w:r>
      <w:r w:rsidRPr="003B6BFE">
        <w:rPr>
          <w:rStyle w:val="FootnoteReference"/>
          <w:rFonts w:ascii="Calibri" w:hAnsi="Calibri" w:cs="Calibri"/>
          <w:lang w:val="fr"/>
        </w:rPr>
        <w:footnoteReference w:id="5"/>
      </w:r>
      <w:r w:rsidR="00E81981">
        <w:rPr>
          <w:lang w:val="fr"/>
        </w:rPr>
        <w:t>. En 2017</w:t>
      </w:r>
      <w:r w:rsidR="00E81981">
        <w:rPr>
          <w:lang w:val="fr"/>
        </w:rPr>
        <w:noBreakHyphen/>
      </w:r>
      <w:r w:rsidRPr="003B6BFE">
        <w:rPr>
          <w:lang w:val="fr"/>
        </w:rPr>
        <w:t>2018, 23 agents de surveillance de la santé publique ont achevé les modules Surveillance de la santé publique et Initiation à l’épidémiologie et l’épidémiologie de terrain (cible</w:t>
      </w:r>
      <w:r w:rsidR="008A3E07" w:rsidRPr="003B6BFE">
        <w:rPr>
          <w:lang w:val="fr"/>
        </w:rPr>
        <w:t> </w:t>
      </w:r>
      <w:r w:rsidRPr="003B6BFE">
        <w:rPr>
          <w:lang w:val="fr"/>
        </w:rPr>
        <w:t xml:space="preserve">13). </w:t>
      </w:r>
    </w:p>
    <w:p w:rsidR="00970136" w:rsidRPr="003B6BFE" w:rsidRDefault="00A56F20" w:rsidP="00DA5BFB">
      <w:pPr>
        <w:rPr>
          <w:lang w:val="fr-FR"/>
        </w:rPr>
      </w:pPr>
      <w:r w:rsidRPr="003B6BFE">
        <w:rPr>
          <w:lang w:val="fr"/>
        </w:rPr>
        <w:t>La CPS a organisé un atelier consultatif One Health le 13</w:t>
      </w:r>
      <w:r w:rsidR="007A67A6">
        <w:rPr>
          <w:lang w:val="fr"/>
        </w:rPr>
        <w:t> </w:t>
      </w:r>
      <w:r w:rsidRPr="003B6BFE">
        <w:rPr>
          <w:lang w:val="fr"/>
        </w:rPr>
        <w:t>avril</w:t>
      </w:r>
      <w:r w:rsidR="007A67A6">
        <w:rPr>
          <w:lang w:val="fr"/>
        </w:rPr>
        <w:t> </w:t>
      </w:r>
      <w:r w:rsidRPr="003B6BFE">
        <w:rPr>
          <w:lang w:val="fr"/>
        </w:rPr>
        <w:t>2018 à Denarau (Fidji). Cet atelier a réuni des représentants des secteurs de la santé humaine, animale et environnementale du Pacifique pour examiner et prioriser les zoonoses endémiques et émergentes préoccupantes pour les pays insulaires du Pacifique, les domaines de recherche clés pour One Health, la lutte antivectorielle et les capacités nationales et régionales connexes, ainsi que les exigences relatives à un mécanisme de c</w:t>
      </w:r>
      <w:r w:rsidR="00637D38">
        <w:rPr>
          <w:lang w:val="fr"/>
        </w:rPr>
        <w:t>oordination pour One Health. En </w:t>
      </w:r>
      <w:r w:rsidRPr="003B6BFE">
        <w:rPr>
          <w:lang w:val="fr"/>
        </w:rPr>
        <w:t>avril</w:t>
      </w:r>
      <w:r w:rsidR="00637D38" w:rsidRPr="00637D38">
        <w:rPr>
          <w:lang w:val="fr-FR"/>
        </w:rPr>
        <w:t> </w:t>
      </w:r>
      <w:r w:rsidRPr="003B6BFE">
        <w:rPr>
          <w:lang w:val="fr"/>
        </w:rPr>
        <w:t>2018, les responsables des services de santé du Pacifique ont approuvé les principales résolutions de l’atelier, en mettant l’accent sur les possibilités de programmation intégrée pour renforcer les partenariats entre les secteurs de la santé humaine, animale et environnementale dans la recherche</w:t>
      </w:r>
      <w:r w:rsidR="008A3E07" w:rsidRPr="003B6BFE">
        <w:rPr>
          <w:lang w:val="fr"/>
        </w:rPr>
        <w:t> </w:t>
      </w:r>
      <w:r w:rsidRPr="003B6BFE">
        <w:rPr>
          <w:lang w:val="fr"/>
        </w:rPr>
        <w:t>; habiliter les établissements d’enseignement locaux à assurer un leadership en matière de recherche et de formation adapté au Pacifique dans le cadre du programme One Health</w:t>
      </w:r>
      <w:r w:rsidR="008A3E07" w:rsidRPr="003B6BFE">
        <w:rPr>
          <w:lang w:val="fr"/>
        </w:rPr>
        <w:t> </w:t>
      </w:r>
      <w:r w:rsidRPr="003B6BFE">
        <w:rPr>
          <w:lang w:val="fr"/>
        </w:rPr>
        <w:t xml:space="preserve">; et aborder la lutte antivectorielle dans une perspective environnementale, notamment en améliorant la gestion de l’eau et l’hygiène du milieu. Un </w:t>
      </w:r>
      <w:r w:rsidRPr="003B6BFE">
        <w:rPr>
          <w:szCs w:val="22"/>
          <w:lang w:val="fr"/>
        </w:rPr>
        <w:t xml:space="preserve">Groupe de travail sur le changement climatique et la santé, avec des liens vers le PSSS et EpiNet, a été constitué pour examiner les activités de surveillance et d’intervention recommandées dans le </w:t>
      </w:r>
      <w:hyperlink r:id="rId26" w:history="1">
        <w:r w:rsidRPr="003B6BFE">
          <w:rPr>
            <w:rStyle w:val="Hyperlink"/>
            <w:i/>
            <w:iCs/>
            <w:szCs w:val="22"/>
            <w:u w:val="none"/>
            <w:lang w:val="fr"/>
          </w:rPr>
          <w:t>Plan d’action des îles du Pacifique sur le changement climatique et la santé</w:t>
        </w:r>
      </w:hyperlink>
      <w:r w:rsidRPr="003B6BFE">
        <w:rPr>
          <w:szCs w:val="22"/>
          <w:lang w:val="fr"/>
        </w:rPr>
        <w:t>.</w:t>
      </w:r>
    </w:p>
    <w:p w:rsidR="009F5024" w:rsidRPr="003B6BFE" w:rsidRDefault="00A56F20" w:rsidP="00DA5BFB">
      <w:pPr>
        <w:rPr>
          <w:lang w:val="fr-FR"/>
        </w:rPr>
      </w:pPr>
      <w:r w:rsidRPr="003B6BFE">
        <w:rPr>
          <w:lang w:val="fr"/>
        </w:rPr>
        <w:t>La Réunion sur la gestion des risques liés aux urgences sanitaires dans le Pacifique, organisée par l’OMS à Nadi (Fidji), du 18 au 21</w:t>
      </w:r>
      <w:r w:rsidR="007A67A6">
        <w:rPr>
          <w:lang w:val="fr"/>
        </w:rPr>
        <w:t> septembre </w:t>
      </w:r>
      <w:r w:rsidRPr="003B6BFE">
        <w:rPr>
          <w:lang w:val="fr"/>
        </w:rPr>
        <w:t>2018, a rassemblé les ministères de la Santé du Pacifique, les bureaux nationaux de gestion des catastrophes et les principaux partenaires régionaux. Les objectifs de la réunion étaient d’examiner les progrès accomplis</w:t>
      </w:r>
      <w:r w:rsidR="008A3E07" w:rsidRPr="003B6BFE">
        <w:rPr>
          <w:lang w:val="fr"/>
        </w:rPr>
        <w:t> </w:t>
      </w:r>
      <w:r w:rsidRPr="003B6BFE">
        <w:rPr>
          <w:lang w:val="fr"/>
        </w:rPr>
        <w:t>; d’identifier les possibilités et de s’attaquer aux obstacles à la gestion efficace des risques liés aux urgences sanitaires dans le Pacifique</w:t>
      </w:r>
      <w:r w:rsidR="008A3E07" w:rsidRPr="003B6BFE">
        <w:rPr>
          <w:lang w:val="fr"/>
        </w:rPr>
        <w:t> </w:t>
      </w:r>
      <w:r w:rsidRPr="003B6BFE">
        <w:rPr>
          <w:lang w:val="fr"/>
        </w:rPr>
        <w:t>; de renforcer la capacité d’élaborer et de déclencher des plans nationaux de préparation et d’intervention englobant tous les risques</w:t>
      </w:r>
      <w:r w:rsidR="008A3E07" w:rsidRPr="003B6BFE">
        <w:rPr>
          <w:lang w:val="fr"/>
        </w:rPr>
        <w:t> </w:t>
      </w:r>
      <w:r w:rsidRPr="003B6BFE">
        <w:rPr>
          <w:lang w:val="fr"/>
        </w:rPr>
        <w:t>; et d’attirer l’attention sur les mécanismes internationaux et régionaux de préparation et d’intervention en situation d’urgence, et de promouvoir la participation à ces mécanismes. Les recommandations issues de la réunion, qui comprenaient un exercice de simulation, sont reproduites à l’annexe</w:t>
      </w:r>
      <w:r w:rsidR="008A3E07" w:rsidRPr="003B6BFE">
        <w:rPr>
          <w:lang w:val="fr"/>
        </w:rPr>
        <w:t> </w:t>
      </w:r>
      <w:r w:rsidRPr="003B6BFE">
        <w:rPr>
          <w:lang w:val="fr"/>
        </w:rPr>
        <w:t>3. La réunion a confirmé l’importance de la planification de la préparation aux situations d’urgence englobant tous les risques et de la préparation opérationnelle, y compris la planification des ressources, pour faire face aux situations d’urgence dues à des risques infectieux et non infectieux liés au RSI et à des catastrophes soudaines dans les 72 premières heures critiques avant la mobilisation du soutien international, si nécessaire.</w:t>
      </w:r>
    </w:p>
    <w:p w:rsidR="00E2631E" w:rsidRPr="0037659C" w:rsidRDefault="0037659C" w:rsidP="00670A9D">
      <w:pPr>
        <w:pStyle w:val="Heading1"/>
        <w:numPr>
          <w:ilvl w:val="0"/>
          <w:numId w:val="18"/>
        </w:numPr>
        <w:rPr>
          <w:rFonts w:cs="Times New Roman"/>
          <w:szCs w:val="22"/>
        </w:rPr>
      </w:pPr>
      <w:r w:rsidRPr="0037659C">
        <w:rPr>
          <w:rFonts w:cs="Times New Roman"/>
          <w:szCs w:val="22"/>
          <w:lang w:val="fr"/>
        </w:rPr>
        <w:t>DÉFIS</w:t>
      </w:r>
    </w:p>
    <w:p w:rsidR="001B3C9E" w:rsidRPr="003B6BFE" w:rsidRDefault="00A56F20" w:rsidP="00DA5BFB">
      <w:pPr>
        <w:rPr>
          <w:lang w:val="fr-FR"/>
        </w:rPr>
      </w:pPr>
      <w:r w:rsidRPr="003B6BFE">
        <w:rPr>
          <w:lang w:val="fr"/>
        </w:rPr>
        <w:t>Des systèmes de santé solides sont le fondement de la sécurité sanitaire nationale et régionale. Bien que la région du Pacifique ait enregistré ces dernières années des progrès significatifs dans la</w:t>
      </w:r>
      <w:r w:rsidR="003B6BFE">
        <w:rPr>
          <w:lang w:val="fr"/>
        </w:rPr>
        <w:t> mise en œuvre</w:t>
      </w:r>
      <w:r w:rsidRPr="003B6BFE">
        <w:rPr>
          <w:lang w:val="fr"/>
        </w:rPr>
        <w:t xml:space="preserve"> des principales capacités requises au titre du RSI, les pays insulaires du Pacifique continuent de faire face à de nombreux défis fondamentaux lors de la mise en place de systèmes de santé résilients aux impacts des urgences. </w:t>
      </w:r>
    </w:p>
    <w:p w:rsidR="00FA61FF" w:rsidRPr="003B6BFE" w:rsidRDefault="00A56F20" w:rsidP="00DA5BFB">
      <w:pPr>
        <w:rPr>
          <w:lang w:val="fr-FR"/>
        </w:rPr>
      </w:pPr>
      <w:r w:rsidRPr="003B6BFE">
        <w:rPr>
          <w:lang w:val="fr"/>
        </w:rPr>
        <w:t xml:space="preserve">Dans le Pacifique, les modestes ressources humaines et financières, l’éloignement géographique et les économies d’échelle limitées soulignent la nécessité de garantir l’accès aux capacités requises au titre du RSI. Pour certaines capacités clés, qui nécessitent des infrastructures lourdes et coûteuses à mettre en place et à entretenir localement, les administrations peuvent avoir accès aux capacités du RSI et les utiliser en partageant des ressources limitées et hautement spécialisées et en établissant des liens avec leurs partenaires et réseaux. Compte tenu des défis que doivent relever les petits États insulaires, les outils actualisés du Cadre de suivi et d’évaluation du RSI, tels que le SPAR et les deuxièmes éditions de l’évaluation extérieure conjointe, contiennent des dispositions spécifiques pour inclure l’accès aux capacités requises dans l’évaluation des progrès par rapport aux indicateurs du RSI. </w:t>
      </w:r>
    </w:p>
    <w:p w:rsidR="00F850BC" w:rsidRPr="003B6BFE" w:rsidRDefault="00A56F20" w:rsidP="00DA5BFB">
      <w:pPr>
        <w:rPr>
          <w:lang w:val="fr-FR"/>
        </w:rPr>
      </w:pPr>
      <w:r w:rsidRPr="003B6BFE">
        <w:rPr>
          <w:lang w:val="fr"/>
        </w:rPr>
        <w:t xml:space="preserve">L’accès aux capacités requises au titre du RSI transparaît déjà dans les notes plus élevées attribuées par certains pays insulaires du Pacifique ayant des liens bien établis avec des institutions et organismes techniques étrangers (par exemple, les capacités des laboratoires) par rapport aux indicateurs SPAR. Toutefois, des défis subsistent dans des domaines clés tels que la fonction de PFN, les zoonoses à l’interface homme-animal, la sécurité biologique dans les laboratoires, les capacités de routine et d’urgence aux points d’entrée désignés, et la sécurité chimique et radiologique. La sécurité chimique, y compris le stockage et l’élimination sans danger des produits chimiques dangereux de laboratoire, domestiques et industriels, des insecticides et des pesticides, est un nouveau problème dans le Pacifique, et certains risques chimiques sont susceptibles d’augmenter en raison du changement climatique et de l’élévation du niveau de la mer qui ont des incidences sur les sites de stockage et les installations et pratiques d’élimination vulnérables ou perfectibles. Lors de la réunion régionale du ROSSP de 2019, les membres du Réseau sont convenus de l’importance de la sécurité chimique dans les pays insulaires du Pacifique, notamment de l’établissement d’inventaires actualisés des produits chimiques et des protocoles de laboratoire pour satisfaire aux exigences de santé et de sécurité relatives à l’utilisation de ces produits. </w:t>
      </w:r>
    </w:p>
    <w:p w:rsidR="00D00029" w:rsidRPr="003B6BFE" w:rsidRDefault="00A56F20" w:rsidP="00DA5BFB">
      <w:pPr>
        <w:rPr>
          <w:lang w:val="fr-FR"/>
        </w:rPr>
      </w:pPr>
      <w:r w:rsidRPr="003B6BFE">
        <w:rPr>
          <w:lang w:val="fr"/>
        </w:rPr>
        <w:t>Les principaux thèmes découlant des consultations multisectorielles et des ateliers SPAR dans le Pacifique comprennent : la méconnaissance du RSI (2005) au-delà de la santé publique au sein des ministères de la santé ainsi que dans les autres secteurs</w:t>
      </w:r>
      <w:r w:rsidR="008A3E07" w:rsidRPr="003B6BFE">
        <w:rPr>
          <w:lang w:val="fr"/>
        </w:rPr>
        <w:t> </w:t>
      </w:r>
      <w:r w:rsidRPr="003B6BFE">
        <w:rPr>
          <w:lang w:val="fr"/>
        </w:rPr>
        <w:t>; la nécessité d’une collaboration multisectorielle renforcée pour la</w:t>
      </w:r>
      <w:r w:rsidR="003B6BFE">
        <w:rPr>
          <w:lang w:val="fr"/>
        </w:rPr>
        <w:t> mise en œuvre</w:t>
      </w:r>
      <w:r w:rsidRPr="003B6BFE">
        <w:rPr>
          <w:lang w:val="fr"/>
        </w:rPr>
        <w:t xml:space="preserve"> du RSI (2005)</w:t>
      </w:r>
      <w:r w:rsidR="008A3E07" w:rsidRPr="003B6BFE">
        <w:rPr>
          <w:lang w:val="fr"/>
        </w:rPr>
        <w:t> </w:t>
      </w:r>
      <w:r w:rsidRPr="003B6BFE">
        <w:rPr>
          <w:lang w:val="fr"/>
        </w:rPr>
        <w:t>; la nécessité de renouveler la formation des PFN compte tenu du roulement élevé du personnel qui remplit cette fonction</w:t>
      </w:r>
      <w:r w:rsidR="008A3E07" w:rsidRPr="003B6BFE">
        <w:rPr>
          <w:lang w:val="fr"/>
        </w:rPr>
        <w:t> </w:t>
      </w:r>
      <w:r w:rsidRPr="003B6BFE">
        <w:rPr>
          <w:lang w:val="fr"/>
        </w:rPr>
        <w:t>; la nécessité pour les partenaires de développement du Pacifique de maintenir leur appui technique, financier et d’urgence concernant la</w:t>
      </w:r>
      <w:r w:rsidR="003B6BFE">
        <w:rPr>
          <w:lang w:val="fr"/>
        </w:rPr>
        <w:t> mise en œuvre</w:t>
      </w:r>
      <w:r w:rsidRPr="003B6BFE">
        <w:rPr>
          <w:lang w:val="fr"/>
        </w:rPr>
        <w:t xml:space="preserve"> et le suivi du RSI (2005). </w:t>
      </w:r>
    </w:p>
    <w:p w:rsidR="008604AB" w:rsidRPr="003B6BFE" w:rsidRDefault="00A56F20" w:rsidP="00DA5BFB">
      <w:pPr>
        <w:rPr>
          <w:lang w:val="fr-FR"/>
        </w:rPr>
      </w:pPr>
      <w:r w:rsidRPr="003B6BFE">
        <w:rPr>
          <w:lang w:val="fr"/>
        </w:rPr>
        <w:t>Des mécanismes de communication nationaux efficaces sont essentiels pour la détection et l’évaluation en temps opportun des risques pour la santé publique ainsi que pour l’organisation d’interventions dans le cadre du RSI (2005). L’article</w:t>
      </w:r>
      <w:r w:rsidR="008A3E07" w:rsidRPr="003B6BFE">
        <w:rPr>
          <w:lang w:val="fr"/>
        </w:rPr>
        <w:t> </w:t>
      </w:r>
      <w:r w:rsidRPr="003B6BFE">
        <w:rPr>
          <w:lang w:val="fr"/>
        </w:rPr>
        <w:t xml:space="preserve">4 stipule que tous les pays doivent désigner un PFN, défini comme le « centre national qui doit être à tout moment à même de communiquer avec les points de contact RSI à l’OMS » dans les bureaux régionaux de l’OMS. Tous les États parties au RSI (2005) peuvent désigner jusqu’à cinq personnes </w:t>
      </w:r>
      <w:r w:rsidR="008A3E07" w:rsidRPr="003B6BFE">
        <w:rPr>
          <w:lang w:val="fr"/>
        </w:rPr>
        <w:t>–</w:t>
      </w:r>
      <w:r w:rsidRPr="003B6BFE">
        <w:rPr>
          <w:lang w:val="fr"/>
        </w:rPr>
        <w:t xml:space="preserve"> le PFN principal et quatre associés qui composent l’équipe PFN </w:t>
      </w:r>
      <w:r w:rsidR="008A3E07" w:rsidRPr="003B6BFE">
        <w:rPr>
          <w:lang w:val="fr"/>
        </w:rPr>
        <w:t>–</w:t>
      </w:r>
      <w:r w:rsidRPr="003B6BFE">
        <w:rPr>
          <w:lang w:val="fr"/>
        </w:rPr>
        <w:t xml:space="preserve"> qui ont accès au </w:t>
      </w:r>
      <w:hyperlink r:id="rId27" w:history="1">
        <w:r w:rsidRPr="003B6BFE">
          <w:rPr>
            <w:rStyle w:val="Hyperlink"/>
            <w:u w:val="none"/>
            <w:lang w:val="fr"/>
          </w:rPr>
          <w:t>portail RSI</w:t>
        </w:r>
      </w:hyperlink>
      <w:r w:rsidRPr="003B6BFE">
        <w:rPr>
          <w:lang w:val="fr"/>
        </w:rPr>
        <w:t xml:space="preserve"> et au </w:t>
      </w:r>
      <w:hyperlink r:id="rId28" w:history="1">
        <w:r w:rsidRPr="003B6BFE">
          <w:rPr>
            <w:rStyle w:val="Hyperlink"/>
            <w:u w:val="none"/>
            <w:lang w:val="fr"/>
          </w:rPr>
          <w:t>site d’information sur les événements</w:t>
        </w:r>
      </w:hyperlink>
      <w:r w:rsidRPr="003B6BFE">
        <w:rPr>
          <w:lang w:val="fr"/>
        </w:rPr>
        <w:t xml:space="preserve"> pour partager en toute sécurité des informations sur les événements graves de santé publique susceptibles d’avoir une portée internationale. Le centre national désigné comme PFN est le centre de coordination du RSI</w:t>
      </w:r>
      <w:r w:rsidR="008A3E07" w:rsidRPr="003B6BFE">
        <w:rPr>
          <w:lang w:val="fr"/>
        </w:rPr>
        <w:t> </w:t>
      </w:r>
      <w:r w:rsidRPr="003B6BFE">
        <w:rPr>
          <w:lang w:val="fr"/>
        </w:rPr>
        <w:t>; les points focaux doivent diffuser les communications RSI aux secteurs nationaux et aux ministères concernés pour prévenir et/ou atténuer les risques sanitaires aigus. Tous les États Partie sont tenus de confirmer chaque année à l’OMS les coordonnées de leur équipe PFN.</w:t>
      </w:r>
    </w:p>
    <w:p w:rsidR="009D27A4" w:rsidRPr="003B6BFE" w:rsidRDefault="00A56F20" w:rsidP="00DA5BFB">
      <w:pPr>
        <w:rPr>
          <w:lang w:val="fr-FR"/>
        </w:rPr>
      </w:pPr>
      <w:r w:rsidRPr="003B6BFE">
        <w:rPr>
          <w:lang w:val="fr"/>
        </w:rPr>
        <w:t>Dans le Pacifique, le RSI (2005) et le rôle du PFN ne sont pas toujours très bien connus en dehors du secteur de la santé. Pour assurer une sécurité sanitaire nationale et régionale durable, il est essentiel que les autres secteurs responsables de la</w:t>
      </w:r>
      <w:r w:rsidR="003B6BFE">
        <w:rPr>
          <w:lang w:val="fr"/>
        </w:rPr>
        <w:t> mise en œuvre</w:t>
      </w:r>
      <w:r w:rsidRPr="003B6BFE">
        <w:rPr>
          <w:lang w:val="fr"/>
        </w:rPr>
        <w:t xml:space="preserve"> et du financement des fonctions du RSI </w:t>
      </w:r>
      <w:r w:rsidR="008A3E07" w:rsidRPr="003B6BFE">
        <w:rPr>
          <w:lang w:val="fr"/>
        </w:rPr>
        <w:t>–</w:t>
      </w:r>
      <w:r w:rsidRPr="003B6BFE">
        <w:rPr>
          <w:lang w:val="fr"/>
        </w:rPr>
        <w:t xml:space="preserve"> dont les hôpitaux, les bureaux nationaux de gestion des catastrophes, la sécurité biologique, les autorités portuaires, l’agriculture et l’élevage, et les autorités responsables de la sécurité sanitaire des aliments et de la sécurité chimique, radiologique et financière </w:t>
      </w:r>
      <w:r w:rsidR="008A3E07" w:rsidRPr="003B6BFE">
        <w:rPr>
          <w:lang w:val="fr"/>
        </w:rPr>
        <w:t>–</w:t>
      </w:r>
      <w:r w:rsidRPr="003B6BFE">
        <w:rPr>
          <w:lang w:val="fr"/>
        </w:rPr>
        <w:t xml:space="preserve"> comprennent pleinement leurs obligations en vertu du RSI et établissent les politiques, procédures, systèmes et partenariats nécessaires à sa</w:t>
      </w:r>
      <w:r w:rsidR="003B6BFE">
        <w:rPr>
          <w:lang w:val="fr"/>
        </w:rPr>
        <w:t> mise en œuvre</w:t>
      </w:r>
      <w:r w:rsidRPr="003B6BFE">
        <w:rPr>
          <w:lang w:val="fr"/>
        </w:rPr>
        <w:t>. À l’heure actuelle, toutes les équipes PFN du Pacifique sont hébergées par les ministères de la santé. Pour renforcer l’engagement multisectoriel envers le RSI, les ministères de la santé pourraient envisager qu’au moins un des quatre PFN associés provienne de secteurs clés autres que celui de la santé, afin d’accroître la sensibilisation, la collaboration et la responsabilisation dans la</w:t>
      </w:r>
      <w:r w:rsidR="003B6BFE">
        <w:rPr>
          <w:lang w:val="fr"/>
        </w:rPr>
        <w:t> mise en œuvre</w:t>
      </w:r>
      <w:r w:rsidRPr="003B6BFE">
        <w:rPr>
          <w:lang w:val="fr"/>
        </w:rPr>
        <w:t xml:space="preserve"> du RSI. </w:t>
      </w:r>
    </w:p>
    <w:p w:rsidR="00AA3F8F" w:rsidRPr="003B6BFE" w:rsidRDefault="00A56F20" w:rsidP="00DA5BFB">
      <w:pPr>
        <w:rPr>
          <w:lang w:val="fr-FR"/>
        </w:rPr>
      </w:pPr>
      <w:r w:rsidRPr="003B6BFE">
        <w:rPr>
          <w:lang w:val="fr"/>
        </w:rPr>
        <w:t>La sécurité sanitaire du Pacifique exige que toutes les administrations de la région disposent de systèmes de sécurité sanitaire solides. L’OMS collabore avec les autorités métropolitaines des territoires d’outre-mer français et américains du Pacifique pour faciliter leur accès aux outils du cadre de suivi et d’évaluation et aux processus d’autoévaluation afin d’assurer une approche commune du suivi de la sécurité sanitaire à l’échelle du Pacifique.</w:t>
      </w:r>
    </w:p>
    <w:p w:rsidR="00CA0B89" w:rsidRPr="003B6BFE" w:rsidRDefault="00A56F20" w:rsidP="00670A9D">
      <w:pPr>
        <w:pStyle w:val="Heading1"/>
        <w:numPr>
          <w:ilvl w:val="0"/>
          <w:numId w:val="18"/>
        </w:numPr>
      </w:pPr>
      <w:r w:rsidRPr="003B6BFE">
        <w:rPr>
          <w:lang w:val="fr"/>
        </w:rPr>
        <w:t>ORIENTATIONS FUTURES</w:t>
      </w:r>
    </w:p>
    <w:p w:rsidR="00AA3F8F" w:rsidRPr="003B6BFE" w:rsidRDefault="00A56F20" w:rsidP="00DA5BFB">
      <w:pPr>
        <w:rPr>
          <w:lang w:val="fr-FR"/>
        </w:rPr>
      </w:pPr>
      <w:r w:rsidRPr="003B6BFE">
        <w:rPr>
          <w:lang w:val="fr"/>
        </w:rPr>
        <w:t>La gestion efficace des menaces pour la santé publique passe par des investissements fermes pour combler les lacunes en matière de sécurité sanitaire nationale et régionale et préserver les acquis. La sécurité sanitaire régionale exige de tous les gouvernements qu’ils renforcent et maintiennent leurs capacités requises en vertu du RSI. Les nouveaux outils et processus du cadre d’évaluation et de suivi du RSI permettent aux pays de mieux évaluer leurs succès et leurs lacunes dans la</w:t>
      </w:r>
      <w:r w:rsidR="003B6BFE">
        <w:rPr>
          <w:lang w:val="fr"/>
        </w:rPr>
        <w:t> mise en œuvre</w:t>
      </w:r>
      <w:r w:rsidRPr="003B6BFE">
        <w:rPr>
          <w:lang w:val="fr"/>
        </w:rPr>
        <w:t xml:space="preserve"> du RSI (2005), d’élaborer des plans d’action, d’allouer des ressources et de tester et suivre leurs capacités grâce à des exercices de simulation et des bilans post-intervention.</w:t>
      </w:r>
    </w:p>
    <w:p w:rsidR="00AB33BE" w:rsidRPr="003B6BFE" w:rsidRDefault="00A56F20" w:rsidP="00DA5BFB">
      <w:pPr>
        <w:rPr>
          <w:lang w:val="fr-FR"/>
        </w:rPr>
      </w:pPr>
      <w:r w:rsidRPr="003B6BFE">
        <w:rPr>
          <w:lang w:val="fr"/>
        </w:rPr>
        <w:t xml:space="preserve">L’OMS continuera de travailler avec les PFN du Pacifique pour renforcer leurs capacités en tant que centre de coordination des processus de communication et d’autoévaluation du RSI, pour s’assurer que, d’ici à 2020, lorsque le PaHSeC actuel prendra fin, les PFN dirigeront les autoévaluations nationales des principales capacités requises, en collaboration avec des équipes intersectorielles pour évaluer leurs domaines de responsabilité, et présenteront leur évaluation reposant sur des bases factuelles lors du séminaire annuel SPAR. Les autoévaluations achevées et les enseignements tirés des bilans post-intervention d’événements réels et d’exercices de simulation seront pris en compte dans les plans d’action nationaux pour la sécurité sanitaire afin de renforcer et de maintenir les capacités de gestion des risques liés aux situations d’urgence de façon que tous les pays insulaires du Pacifique soient opérationnels et prêts à répondre à toutes les urgences sanitaires. </w:t>
      </w:r>
    </w:p>
    <w:p w:rsidR="00AB33BE" w:rsidRPr="003B6BFE" w:rsidRDefault="00A56F20" w:rsidP="00DA5BFB">
      <w:pPr>
        <w:rPr>
          <w:lang w:val="fr-FR"/>
        </w:rPr>
      </w:pPr>
      <w:r w:rsidRPr="003B6BFE">
        <w:rPr>
          <w:lang w:val="fr"/>
        </w:rPr>
        <w:t xml:space="preserve">Le </w:t>
      </w:r>
      <w:r w:rsidRPr="003B6BFE">
        <w:rPr>
          <w:i/>
          <w:iCs/>
          <w:lang w:val="fr"/>
        </w:rPr>
        <w:t>Plan de coordination pour la sécurité sanitaire dans le Pacifique</w:t>
      </w:r>
      <w:r w:rsidR="008A3E07" w:rsidRPr="003B6BFE">
        <w:rPr>
          <w:i/>
          <w:iCs/>
          <w:lang w:val="fr"/>
        </w:rPr>
        <w:t> </w:t>
      </w:r>
      <w:r w:rsidRPr="003B6BFE">
        <w:rPr>
          <w:i/>
          <w:iCs/>
          <w:lang w:val="fr"/>
        </w:rPr>
        <w:t xml:space="preserve">2017-2022 </w:t>
      </w:r>
      <w:r w:rsidRPr="003B6BFE">
        <w:rPr>
          <w:lang w:val="fr"/>
        </w:rPr>
        <w:t>a été élaboré par les partenaires de développement du Pacifique comme une déclaration d’intention de collaborer de manière concertée et cohérente à l’appui du renforcement de la sécurité sanitaire nationale et régionale, en utilisant ou en s’alignant sur les domaines prioritaires de la SMEAP</w:t>
      </w:r>
      <w:r w:rsidR="008A3E07" w:rsidRPr="003B6BFE">
        <w:rPr>
          <w:lang w:val="fr"/>
        </w:rPr>
        <w:t> </w:t>
      </w:r>
      <w:r w:rsidRPr="003B6BFE">
        <w:rPr>
          <w:lang w:val="fr"/>
        </w:rPr>
        <w:t>III comme feuille de route pour la</w:t>
      </w:r>
      <w:r w:rsidR="003B6BFE">
        <w:rPr>
          <w:lang w:val="fr"/>
        </w:rPr>
        <w:t> mise en œuvre</w:t>
      </w:r>
      <w:r w:rsidRPr="003B6BFE">
        <w:rPr>
          <w:lang w:val="fr"/>
        </w:rPr>
        <w:t xml:space="preserve"> accélérée du RSI (2005). Cet engagement commence à porter ses fruits dans divers domaines prioritaires, comme la gestion des risques liés aux urgences, l’initiative One Health, la prévention et la maîtrise de la RAM et la gestion des risques infectieux, ainsi que dans les domaines visés par les six services du ROSSP. Des compétences spécialisées supplémentaires pourront toutefois être nécessaires pour évaluer et renforcer la sécurité chimique et la sécurité radiologique dans le Pacifique.</w:t>
      </w:r>
    </w:p>
    <w:p w:rsidR="00BE1590" w:rsidRPr="003B6BFE" w:rsidRDefault="00A56F20" w:rsidP="00DA5BFB">
      <w:pPr>
        <w:pStyle w:val="Heading2"/>
        <w:rPr>
          <w:lang w:val="fr-FR"/>
        </w:rPr>
      </w:pPr>
      <w:r w:rsidRPr="003B6BFE">
        <w:rPr>
          <w:lang w:val="fr"/>
        </w:rPr>
        <w:t>4.1 Recommandations à l’intention des pouvoirs publics</w:t>
      </w:r>
    </w:p>
    <w:p w:rsidR="00F20087" w:rsidRPr="003B6BFE" w:rsidRDefault="00A56F20" w:rsidP="00670A9D">
      <w:pPr>
        <w:rPr>
          <w:lang w:val="fr-FR"/>
        </w:rPr>
      </w:pPr>
      <w:r w:rsidRPr="003B6BFE">
        <w:rPr>
          <w:lang w:val="fr"/>
        </w:rPr>
        <w:t>Les ministres de la santé du Pacifique sont invités à</w:t>
      </w:r>
      <w:r w:rsidR="008A3E07" w:rsidRPr="003B6BFE">
        <w:rPr>
          <w:lang w:val="fr"/>
        </w:rPr>
        <w:t> </w:t>
      </w:r>
      <w:r w:rsidRPr="003B6BFE">
        <w:rPr>
          <w:lang w:val="fr"/>
        </w:rPr>
        <w:t xml:space="preserve">: </w:t>
      </w:r>
    </w:p>
    <w:p w:rsidR="00F20087"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veiller à ce que les PFN disposent des ressources appropriées et dialoguent activement avec les secteurs autres que la santé pour soutenir la</w:t>
      </w:r>
      <w:r w:rsidR="003B6BFE">
        <w:rPr>
          <w:rFonts w:ascii="Times New Roman" w:hAnsi="Times New Roman" w:cs="Times New Roman"/>
          <w:lang w:val="fr"/>
        </w:rPr>
        <w:t> mise en œuvre</w:t>
      </w:r>
      <w:r w:rsidRPr="003B6BFE">
        <w:rPr>
          <w:rFonts w:ascii="Times New Roman" w:hAnsi="Times New Roman" w:cs="Times New Roman"/>
          <w:lang w:val="fr"/>
        </w:rPr>
        <w:t xml:space="preserve"> du RSI (2005)</w:t>
      </w:r>
      <w:r w:rsidR="008A3E07" w:rsidRPr="003B6BFE">
        <w:rPr>
          <w:rFonts w:ascii="Times New Roman" w:hAnsi="Times New Roman" w:cs="Times New Roman"/>
          <w:lang w:val="fr"/>
        </w:rPr>
        <w:t> </w:t>
      </w:r>
      <w:r w:rsidRPr="003B6BFE">
        <w:rPr>
          <w:rFonts w:ascii="Times New Roman" w:hAnsi="Times New Roman" w:cs="Times New Roman"/>
          <w:lang w:val="fr"/>
        </w:rPr>
        <w:t>;</w:t>
      </w:r>
    </w:p>
    <w:p w:rsidR="00F20087"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envisager d’inviter d’autres secteurs clés à intégrer l’équipe PFN pour renforcer la sensibilisation, la collaboration intersectorielle et la responsabilisation dans le cadre du RSI (2005)</w:t>
      </w:r>
      <w:r w:rsidR="008A3E07" w:rsidRPr="003B6BFE">
        <w:rPr>
          <w:rFonts w:ascii="Times New Roman" w:hAnsi="Times New Roman" w:cs="Times New Roman"/>
          <w:lang w:val="fr"/>
        </w:rPr>
        <w:t> </w:t>
      </w:r>
      <w:r w:rsidRPr="003B6BFE">
        <w:rPr>
          <w:rFonts w:ascii="Times New Roman" w:hAnsi="Times New Roman" w:cs="Times New Roman"/>
          <w:lang w:val="fr"/>
        </w:rPr>
        <w:t>;</w:t>
      </w:r>
    </w:p>
    <w:p w:rsidR="00F20087"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promouvoir les activités du Cadre de suivi et d’évaluation du RSI pour évaluer et tester les capacités</w:t>
      </w:r>
      <w:r w:rsidR="008A3E07" w:rsidRPr="003B6BFE">
        <w:rPr>
          <w:rFonts w:ascii="Times New Roman" w:hAnsi="Times New Roman" w:cs="Times New Roman"/>
          <w:lang w:val="fr"/>
        </w:rPr>
        <w:t> </w:t>
      </w:r>
      <w:r w:rsidRPr="003B6BFE">
        <w:rPr>
          <w:rFonts w:ascii="Times New Roman" w:hAnsi="Times New Roman" w:cs="Times New Roman"/>
          <w:lang w:val="fr"/>
        </w:rPr>
        <w:t>;</w:t>
      </w:r>
    </w:p>
    <w:p w:rsidR="00F20087"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adopter les recommandations de la Réunion sur la gestion des risques liés aux urgences sanitaires dans le Pacifique (2018), pour renforcer les capacités de préparation et d’intervention en cas d’urgence englobant tous les risques, conformément au RSI</w:t>
      </w:r>
      <w:r w:rsidR="008A3E07" w:rsidRPr="003B6BFE">
        <w:rPr>
          <w:rFonts w:ascii="Times New Roman" w:hAnsi="Times New Roman" w:cs="Times New Roman"/>
          <w:lang w:val="fr"/>
        </w:rPr>
        <w:t> </w:t>
      </w:r>
      <w:r w:rsidRPr="003B6BFE">
        <w:rPr>
          <w:rFonts w:ascii="Times New Roman" w:hAnsi="Times New Roman" w:cs="Times New Roman"/>
          <w:lang w:val="fr"/>
        </w:rPr>
        <w:t>2005 et à la SMEAP</w:t>
      </w:r>
      <w:r w:rsidR="008A3E07" w:rsidRPr="003B6BFE">
        <w:rPr>
          <w:rFonts w:ascii="Times New Roman" w:hAnsi="Times New Roman" w:cs="Times New Roman"/>
          <w:lang w:val="fr"/>
        </w:rPr>
        <w:t> </w:t>
      </w:r>
      <w:r w:rsidRPr="003B6BFE">
        <w:rPr>
          <w:rFonts w:ascii="Times New Roman" w:hAnsi="Times New Roman" w:cs="Times New Roman"/>
          <w:lang w:val="fr"/>
        </w:rPr>
        <w:t>III</w:t>
      </w:r>
      <w:r w:rsidR="008A3E07" w:rsidRPr="003B6BFE">
        <w:rPr>
          <w:rFonts w:ascii="Times New Roman" w:hAnsi="Times New Roman" w:cs="Times New Roman"/>
          <w:lang w:val="fr"/>
        </w:rPr>
        <w:t> </w:t>
      </w:r>
      <w:r w:rsidRPr="003B6BFE">
        <w:rPr>
          <w:rFonts w:ascii="Times New Roman" w:hAnsi="Times New Roman" w:cs="Times New Roman"/>
          <w:lang w:val="fr"/>
        </w:rPr>
        <w:t xml:space="preserve">; </w:t>
      </w:r>
    </w:p>
    <w:p w:rsidR="0032699D"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reconnaître l’importance de la sécurité chimique en tant que principale capacité requise au titre du RSI ainsi que le besoin de cartographier et d’élaborer des plans de gestion des produits chimiques dangereux dans les laboratoires et la lutte antivectorielle</w:t>
      </w:r>
      <w:r w:rsidR="008A3E07" w:rsidRPr="003B6BFE">
        <w:rPr>
          <w:rFonts w:ascii="Times New Roman" w:hAnsi="Times New Roman" w:cs="Times New Roman"/>
          <w:lang w:val="fr"/>
        </w:rPr>
        <w:t> </w:t>
      </w:r>
      <w:r w:rsidRPr="003B6BFE">
        <w:rPr>
          <w:rFonts w:ascii="Times New Roman" w:hAnsi="Times New Roman" w:cs="Times New Roman"/>
          <w:lang w:val="fr"/>
        </w:rPr>
        <w:t>; et</w:t>
      </w:r>
    </w:p>
    <w:p w:rsidR="00C34221" w:rsidRPr="003B6BFE" w:rsidRDefault="00A56F20" w:rsidP="003475B8">
      <w:pPr>
        <w:pStyle w:val="ListParagraph"/>
        <w:numPr>
          <w:ilvl w:val="0"/>
          <w:numId w:val="19"/>
        </w:numPr>
        <w:spacing w:before="0" w:after="0" w:line="360" w:lineRule="auto"/>
        <w:rPr>
          <w:rFonts w:ascii="Times New Roman" w:hAnsi="Times New Roman" w:cs="Times New Roman"/>
          <w:lang w:val="fr-FR"/>
        </w:rPr>
      </w:pPr>
      <w:r w:rsidRPr="003B6BFE">
        <w:rPr>
          <w:rFonts w:ascii="Times New Roman" w:hAnsi="Times New Roman" w:cs="Times New Roman"/>
          <w:lang w:val="fr"/>
        </w:rPr>
        <w:t>appuyer l’élaboration et le financement des plans d’action nationaux pour la sécurité sanitaire afin de combler les lacunes en matière de capacités de préparation et d’intervention en cas d’urgence et de préserver les acquis.</w:t>
      </w:r>
    </w:p>
    <w:p w:rsidR="00757EBB" w:rsidRPr="003B6BFE" w:rsidRDefault="00757EBB" w:rsidP="004D6CDE">
      <w:pPr>
        <w:pStyle w:val="BodyText1"/>
        <w:spacing w:line="240" w:lineRule="auto"/>
        <w:ind w:firstLine="0"/>
        <w:rPr>
          <w:lang w:val="fr-FR"/>
        </w:rPr>
      </w:pPr>
    </w:p>
    <w:p w:rsidR="004D6CDE" w:rsidRPr="003B6BFE" w:rsidRDefault="00A56F20" w:rsidP="004D6CDE">
      <w:pPr>
        <w:pStyle w:val="Heading2"/>
        <w:rPr>
          <w:lang w:val="fr-FR"/>
        </w:rPr>
      </w:pPr>
      <w:r w:rsidRPr="003B6BFE">
        <w:rPr>
          <w:lang w:val="fr"/>
        </w:rPr>
        <w:t>4.2 Recommandations à l’intention des partenaires du développement</w:t>
      </w:r>
    </w:p>
    <w:p w:rsidR="00A61180" w:rsidRPr="003B6BFE" w:rsidRDefault="00A56F20" w:rsidP="00D20BDF">
      <w:pPr>
        <w:rPr>
          <w:lang w:val="fr-FR"/>
        </w:rPr>
      </w:pPr>
      <w:r w:rsidRPr="003B6BFE">
        <w:rPr>
          <w:lang w:val="fr"/>
        </w:rPr>
        <w:t>Les partenaires de développement sont invités à :</w:t>
      </w:r>
    </w:p>
    <w:p w:rsidR="004D6CDE" w:rsidRPr="003B6BFE" w:rsidRDefault="00A56F20" w:rsidP="004D6CDE">
      <w:pPr>
        <w:pStyle w:val="ListParagraph"/>
        <w:numPr>
          <w:ilvl w:val="0"/>
          <w:numId w:val="21"/>
        </w:numPr>
        <w:spacing w:before="0" w:after="0" w:line="360" w:lineRule="auto"/>
        <w:rPr>
          <w:rFonts w:ascii="Times New Roman" w:hAnsi="Times New Roman" w:cs="Times New Roman"/>
          <w:lang w:val="fr-FR"/>
        </w:rPr>
      </w:pPr>
      <w:r w:rsidRPr="003B6BFE">
        <w:rPr>
          <w:rFonts w:ascii="Times New Roman" w:hAnsi="Times New Roman" w:cs="Times New Roman"/>
          <w:lang w:val="fr"/>
        </w:rPr>
        <w:t>prendre note des progrès accomplis et des défis à relever dans le Pacifique en matière de sécurité sanitaire nationale et régionale, y compris les questions émergentes comme la sécurité chimique</w:t>
      </w:r>
      <w:r w:rsidR="008A3E07" w:rsidRPr="003B6BFE">
        <w:rPr>
          <w:rFonts w:ascii="Times New Roman" w:hAnsi="Times New Roman" w:cs="Times New Roman"/>
          <w:lang w:val="fr"/>
        </w:rPr>
        <w:t> </w:t>
      </w:r>
      <w:r w:rsidRPr="003B6BFE">
        <w:rPr>
          <w:rFonts w:ascii="Times New Roman" w:hAnsi="Times New Roman" w:cs="Times New Roman"/>
          <w:lang w:val="fr"/>
        </w:rPr>
        <w:t>; et</w:t>
      </w:r>
    </w:p>
    <w:p w:rsidR="004D6CDE" w:rsidRPr="003B6BFE" w:rsidRDefault="00A56F20" w:rsidP="004D6CDE">
      <w:pPr>
        <w:pStyle w:val="ListParagraph"/>
        <w:numPr>
          <w:ilvl w:val="0"/>
          <w:numId w:val="21"/>
        </w:numPr>
        <w:spacing w:before="0" w:after="0" w:line="360" w:lineRule="auto"/>
        <w:rPr>
          <w:rFonts w:ascii="Times New Roman" w:hAnsi="Times New Roman" w:cs="Times New Roman"/>
          <w:lang w:val="fr-FR"/>
        </w:rPr>
      </w:pPr>
      <w:r w:rsidRPr="003B6BFE">
        <w:rPr>
          <w:rFonts w:ascii="Times New Roman" w:hAnsi="Times New Roman" w:cs="Times New Roman"/>
          <w:lang w:val="fr"/>
        </w:rPr>
        <w:t>continuer d’appuyer la</w:t>
      </w:r>
      <w:r w:rsidR="003B6BFE">
        <w:rPr>
          <w:rFonts w:ascii="Times New Roman" w:hAnsi="Times New Roman" w:cs="Times New Roman"/>
          <w:lang w:val="fr"/>
        </w:rPr>
        <w:t> mise en œuvre</w:t>
      </w:r>
      <w:r w:rsidRPr="003B6BFE">
        <w:rPr>
          <w:rFonts w:ascii="Times New Roman" w:hAnsi="Times New Roman" w:cs="Times New Roman"/>
          <w:lang w:val="fr"/>
        </w:rPr>
        <w:t xml:space="preserve"> des activités visant la mise en place des principales capacités requises au titre du RSI (2005) grâce à la</w:t>
      </w:r>
      <w:r w:rsidR="003B6BFE">
        <w:rPr>
          <w:rFonts w:ascii="Times New Roman" w:hAnsi="Times New Roman" w:cs="Times New Roman"/>
          <w:lang w:val="fr"/>
        </w:rPr>
        <w:t> mise en œuvre</w:t>
      </w:r>
      <w:r w:rsidRPr="003B6BFE">
        <w:rPr>
          <w:rFonts w:ascii="Times New Roman" w:hAnsi="Times New Roman" w:cs="Times New Roman"/>
          <w:lang w:val="fr"/>
        </w:rPr>
        <w:t xml:space="preserve"> de la SMEAP</w:t>
      </w:r>
      <w:r w:rsidR="008A3E07" w:rsidRPr="003B6BFE">
        <w:rPr>
          <w:rFonts w:ascii="Times New Roman" w:hAnsi="Times New Roman" w:cs="Times New Roman"/>
          <w:lang w:val="fr"/>
        </w:rPr>
        <w:t> </w:t>
      </w:r>
      <w:r w:rsidRPr="003B6BFE">
        <w:rPr>
          <w:rFonts w:ascii="Times New Roman" w:hAnsi="Times New Roman" w:cs="Times New Roman"/>
          <w:lang w:val="fr"/>
        </w:rPr>
        <w:t xml:space="preserve">III et du </w:t>
      </w:r>
      <w:r w:rsidRPr="003B6BFE">
        <w:rPr>
          <w:rFonts w:ascii="Times New Roman" w:hAnsi="Times New Roman" w:cs="Times New Roman"/>
          <w:i/>
          <w:iCs/>
          <w:lang w:val="fr"/>
        </w:rPr>
        <w:t>Plan de coordination pour la sécurité sanitaire dans le Pacifique</w:t>
      </w:r>
      <w:r w:rsidR="008A3E07" w:rsidRPr="003B6BFE">
        <w:rPr>
          <w:rFonts w:ascii="Times New Roman" w:hAnsi="Times New Roman" w:cs="Times New Roman"/>
          <w:i/>
          <w:iCs/>
          <w:lang w:val="fr"/>
        </w:rPr>
        <w:t> </w:t>
      </w:r>
      <w:r w:rsidRPr="003B6BFE">
        <w:rPr>
          <w:rFonts w:ascii="Times New Roman" w:hAnsi="Times New Roman" w:cs="Times New Roman"/>
          <w:i/>
          <w:iCs/>
          <w:lang w:val="fr"/>
        </w:rPr>
        <w:t>2017-2022</w:t>
      </w:r>
      <w:r w:rsidRPr="003B6BFE">
        <w:rPr>
          <w:rFonts w:ascii="Times New Roman" w:hAnsi="Times New Roman" w:cs="Times New Roman"/>
          <w:lang w:val="fr"/>
        </w:rPr>
        <w:t xml:space="preserve">.   </w:t>
      </w:r>
    </w:p>
    <w:p w:rsidR="005936A1" w:rsidRPr="003B6BFE" w:rsidRDefault="005936A1" w:rsidP="00A13EA0">
      <w:pPr>
        <w:pStyle w:val="BodyText1"/>
        <w:spacing w:line="240" w:lineRule="auto"/>
        <w:ind w:firstLine="0"/>
        <w:rPr>
          <w:rFonts w:ascii="Calibri" w:hAnsi="Calibri" w:cs="Calibri"/>
          <w:lang w:val="fr-FR"/>
        </w:rPr>
      </w:pPr>
    </w:p>
    <w:p w:rsidR="005936A1" w:rsidRPr="003B6BFE" w:rsidRDefault="005936A1" w:rsidP="00A13EA0">
      <w:pPr>
        <w:pStyle w:val="BodyText1"/>
        <w:spacing w:line="240" w:lineRule="auto"/>
        <w:ind w:firstLine="0"/>
        <w:rPr>
          <w:rFonts w:ascii="Calibri" w:hAnsi="Calibri" w:cs="Calibri"/>
          <w:lang w:val="fr-FR"/>
        </w:rPr>
      </w:pPr>
    </w:p>
    <w:p w:rsidR="00C34221" w:rsidRPr="003B6BFE" w:rsidRDefault="00C34221" w:rsidP="00A13EA0">
      <w:pPr>
        <w:spacing w:after="200"/>
        <w:rPr>
          <w:rFonts w:ascii="Calibri" w:eastAsia="Times New Roman" w:hAnsi="Calibri" w:cs="Calibri"/>
          <w:szCs w:val="20"/>
          <w:lang w:val="fr-FR"/>
        </w:rPr>
      </w:pPr>
    </w:p>
    <w:p w:rsidR="00AB260E" w:rsidRDefault="00AB260E">
      <w:pPr>
        <w:spacing w:before="0" w:after="200" w:line="276" w:lineRule="auto"/>
        <w:jc w:val="left"/>
        <w:rPr>
          <w:rFonts w:ascii="Calibri" w:eastAsia="Times New Roman" w:hAnsi="Calibri" w:cs="Calibri"/>
          <w:szCs w:val="20"/>
          <w:lang w:val="fr-FR"/>
        </w:rPr>
      </w:pPr>
      <w:r>
        <w:rPr>
          <w:rFonts w:ascii="Calibri" w:eastAsia="Times New Roman" w:hAnsi="Calibri" w:cs="Calibri"/>
          <w:szCs w:val="20"/>
          <w:lang w:val="fr-FR"/>
        </w:rPr>
        <w:br w:type="page"/>
      </w:r>
    </w:p>
    <w:p w:rsidR="00AB260E" w:rsidRPr="000E42A0" w:rsidRDefault="00AB260E" w:rsidP="00AB260E">
      <w:pPr>
        <w:spacing w:after="360"/>
        <w:rPr>
          <w:b/>
          <w:caps/>
          <w:lang w:val="fr-FR"/>
        </w:rPr>
      </w:pPr>
      <w:r w:rsidRPr="000E42A0">
        <w:rPr>
          <w:b/>
          <w:bCs/>
          <w:caps/>
          <w:lang w:val="fr"/>
        </w:rPr>
        <w:t>Appendice</w:t>
      </w:r>
      <w:r w:rsidR="0026231C">
        <w:rPr>
          <w:b/>
          <w:bCs/>
          <w:caps/>
          <w:lang w:val="fr"/>
        </w:rPr>
        <w:t xml:space="preserve"> 1</w:t>
      </w:r>
      <w:r w:rsidRPr="000E42A0">
        <w:rPr>
          <w:b/>
          <w:bCs/>
          <w:caps/>
          <w:lang w:val="fr"/>
        </w:rPr>
        <w:t> : Progrès vers la sécurité sanitaire dans le Pacifique, 2017-2018</w:t>
      </w:r>
    </w:p>
    <w:p w:rsidR="00AB260E" w:rsidRPr="000E42A0" w:rsidRDefault="00AB260E" w:rsidP="00AB260E">
      <w:pPr>
        <w:rPr>
          <w:lang w:val="fr-FR"/>
        </w:rPr>
      </w:pPr>
      <w:r w:rsidRPr="000E42A0">
        <w:rPr>
          <w:lang w:val="fr"/>
        </w:rPr>
        <w:t>Le présent appendice fournit des informations complémentaires sur l’état de la sécurité sanitaire dans le Pacifique. Il met l’accent sur les urgences de santé publique (tableau A1), les activités de renforcement de la sécurité sanitaire aux niveaux national et régional (tableau A2), les progrès vers la mise en place des principales capacités requises au titre du RSI (tableau A3) et les activités des partenaires de développement régional, au cours de la période 2017-2018. Les codes de pays à trois lettres de l’Organisation internationale de normalisation (ISO) sont utilisés dans tous les tableaux.</w:t>
      </w:r>
    </w:p>
    <w:p w:rsidR="00AB260E" w:rsidRPr="000E42A0" w:rsidRDefault="00AB260E" w:rsidP="00AB260E">
      <w:pPr>
        <w:spacing w:after="120"/>
        <w:rPr>
          <w:i/>
          <w:lang w:val="fr-FR"/>
        </w:rPr>
      </w:pPr>
      <w:r w:rsidRPr="000E42A0">
        <w:rPr>
          <w:b/>
          <w:bCs/>
          <w:lang w:val="fr"/>
        </w:rPr>
        <w:t>Tableau A1. Statistiques sur les urgences de santé publique, 2017-2018</w:t>
      </w:r>
      <w:r w:rsidRPr="000E42A0">
        <w:rPr>
          <w:vertAlign w:val="superscript"/>
          <w:lang w:val="fr"/>
        </w:rPr>
        <w:t>a</w:t>
      </w:r>
    </w:p>
    <w:tbl>
      <w:tblPr>
        <w:tblStyle w:val="TableGrid1"/>
        <w:tblW w:w="9542" w:type="dxa"/>
        <w:tblLayout w:type="fixed"/>
        <w:tblLook w:val="04A0" w:firstRow="1" w:lastRow="0" w:firstColumn="1" w:lastColumn="0" w:noHBand="0" w:noVBand="1"/>
      </w:tblPr>
      <w:tblGrid>
        <w:gridCol w:w="1668"/>
        <w:gridCol w:w="2835"/>
        <w:gridCol w:w="897"/>
        <w:gridCol w:w="1796"/>
        <w:gridCol w:w="2346"/>
      </w:tblGrid>
      <w:tr w:rsidR="00DE6F84" w:rsidRPr="00DE6F84" w:rsidTr="0055668D">
        <w:tc>
          <w:tcPr>
            <w:tcW w:w="1668" w:type="dxa"/>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en-GB"/>
              </w:rPr>
            </w:pPr>
            <w:r w:rsidRPr="00DE6F84">
              <w:rPr>
                <w:rFonts w:asciiTheme="minorHAnsi" w:hAnsiTheme="minorHAnsi" w:cstheme="minorHAnsi"/>
                <w:b/>
                <w:bCs/>
                <w:sz w:val="20"/>
                <w:szCs w:val="20"/>
                <w:lang w:val="fr"/>
              </w:rPr>
              <w:t>Type d’urgence</w:t>
            </w:r>
          </w:p>
        </w:tc>
        <w:tc>
          <w:tcPr>
            <w:tcW w:w="2835" w:type="dxa"/>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en-GB"/>
              </w:rPr>
            </w:pPr>
            <w:r w:rsidRPr="00DE6F84">
              <w:rPr>
                <w:rFonts w:asciiTheme="minorHAnsi" w:hAnsiTheme="minorHAnsi" w:cstheme="minorHAnsi"/>
                <w:b/>
                <w:bCs/>
                <w:sz w:val="20"/>
                <w:szCs w:val="20"/>
                <w:lang w:val="fr"/>
              </w:rPr>
              <w:t>Type d’événement</w:t>
            </w:r>
          </w:p>
        </w:tc>
        <w:tc>
          <w:tcPr>
            <w:tcW w:w="897"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Nb d’événements</w:t>
            </w:r>
          </w:p>
        </w:tc>
        <w:tc>
          <w:tcPr>
            <w:tcW w:w="1796"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 xml:space="preserve">Nb de </w:t>
            </w:r>
            <w:r w:rsidRPr="00DE6F84">
              <w:rPr>
                <w:rFonts w:asciiTheme="minorHAnsi" w:hAnsiTheme="minorHAnsi" w:cstheme="minorHAnsi"/>
                <w:sz w:val="20"/>
                <w:szCs w:val="20"/>
                <w:lang w:val="fr"/>
              </w:rPr>
              <w:br/>
            </w:r>
            <w:r w:rsidRPr="00DE6F84">
              <w:rPr>
                <w:rFonts w:asciiTheme="minorHAnsi" w:hAnsiTheme="minorHAnsi" w:cstheme="minorHAnsi"/>
                <w:b/>
                <w:bCs/>
                <w:sz w:val="20"/>
                <w:szCs w:val="20"/>
                <w:lang w:val="fr"/>
              </w:rPr>
              <w:t>cas déclarés</w:t>
            </w:r>
          </w:p>
        </w:tc>
        <w:tc>
          <w:tcPr>
            <w:tcW w:w="2346"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État ou Territoire</w:t>
            </w:r>
          </w:p>
          <w:p w:rsidR="00DE6F84" w:rsidRPr="00DE6F84" w:rsidRDefault="00DE6F84" w:rsidP="00DE6F84">
            <w:pPr>
              <w:spacing w:before="0" w:after="0" w:line="240" w:lineRule="auto"/>
              <w:jc w:val="center"/>
              <w:rPr>
                <w:rFonts w:asciiTheme="minorHAnsi" w:hAnsiTheme="minorHAnsi" w:cstheme="minorHAnsi"/>
                <w:b/>
                <w:sz w:val="20"/>
                <w:szCs w:val="20"/>
                <w:lang w:val="en-GB"/>
              </w:rPr>
            </w:pPr>
          </w:p>
        </w:tc>
      </w:tr>
      <w:tr w:rsidR="00DE6F84" w:rsidRPr="00DE6F84" w:rsidTr="0055668D">
        <w:trPr>
          <w:trHeight w:val="59"/>
        </w:trPr>
        <w:tc>
          <w:tcPr>
            <w:tcW w:w="1668" w:type="dxa"/>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Flambées de maladies infectieuses</w:t>
            </w:r>
            <w:r w:rsidRPr="00DE6F84">
              <w:rPr>
                <w:sz w:val="20"/>
                <w:szCs w:val="20"/>
                <w:vertAlign w:val="superscript"/>
                <w:lang w:val="fr"/>
              </w:rPr>
              <w:t>b</w:t>
            </w:r>
          </w:p>
          <w:p w:rsidR="00DE6F84" w:rsidRPr="00DE6F84" w:rsidRDefault="00DE6F84" w:rsidP="00DE6F84">
            <w:pPr>
              <w:spacing w:before="0" w:after="0" w:line="240" w:lineRule="auto"/>
              <w:jc w:val="left"/>
              <w:rPr>
                <w:sz w:val="20"/>
                <w:szCs w:val="20"/>
                <w:lang w:val="en-GB"/>
              </w:rPr>
            </w:pPr>
          </w:p>
          <w:p w:rsidR="00DE6F84" w:rsidRPr="00DE6F84" w:rsidRDefault="00DE6F84" w:rsidP="00DE6F84">
            <w:pPr>
              <w:spacing w:before="0" w:after="0" w:line="240" w:lineRule="auto"/>
              <w:jc w:val="left"/>
              <w:rPr>
                <w:i/>
                <w:sz w:val="20"/>
                <w:szCs w:val="20"/>
                <w:lang w:val="en-GB"/>
              </w:rPr>
            </w:pPr>
          </w:p>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i/>
                <w:iCs/>
                <w:sz w:val="20"/>
                <w:szCs w:val="20"/>
                <w:lang w:val="fr"/>
              </w:rPr>
              <w:t>Acinetobacter baumannii</w:t>
            </w:r>
            <w:r w:rsidRPr="00DE6F84">
              <w:rPr>
                <w:rFonts w:eastAsia="Times New Roman"/>
                <w:sz w:val="20"/>
                <w:szCs w:val="20"/>
                <w:lang w:val="fr"/>
              </w:rPr>
              <w:t xml:space="preserve"> multirésistant</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12</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FJI</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DEN-1</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NRU</w:t>
            </w:r>
          </w:p>
        </w:tc>
      </w:tr>
      <w:tr w:rsidR="00DE6F84" w:rsidRPr="00DE6F84" w:rsidTr="0055668D">
        <w:trPr>
          <w:trHeight w:val="275"/>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DEN-2</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3</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426</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TON</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Dengue (sérotype non confirmé)</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2</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1485</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KIR</w:t>
            </w:r>
          </w:p>
        </w:tc>
      </w:tr>
      <w:tr w:rsidR="00DE6F84" w:rsidRPr="00DE6F84" w:rsidTr="0055668D">
        <w:trPr>
          <w:trHeight w:val="551"/>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fr-FR"/>
              </w:rPr>
            </w:pPr>
            <w:r w:rsidRPr="00DE6F84">
              <w:rPr>
                <w:rFonts w:eastAsia="Times New Roman"/>
                <w:sz w:val="20"/>
                <w:szCs w:val="20"/>
                <w:lang w:val="fr"/>
              </w:rPr>
              <w:t>Maladie assimilable à la dengue/</w:t>
            </w:r>
            <w:r w:rsidRPr="00DE6F84">
              <w:rPr>
                <w:rFonts w:eastAsia="Times New Roman"/>
                <w:sz w:val="20"/>
                <w:szCs w:val="20"/>
                <w:lang w:val="fr"/>
              </w:rPr>
              <w:br/>
              <w:t>Syndrome de type grippal</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464</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KIR</w:t>
            </w:r>
          </w:p>
        </w:tc>
      </w:tr>
      <w:tr w:rsidR="00DE6F84" w:rsidRPr="00DE6F84" w:rsidTr="0055668D">
        <w:trPr>
          <w:trHeight w:val="551"/>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fr-FR"/>
              </w:rPr>
            </w:pPr>
            <w:r w:rsidRPr="00DE6F84">
              <w:rPr>
                <w:rFonts w:eastAsia="Times New Roman"/>
                <w:sz w:val="20"/>
                <w:szCs w:val="20"/>
                <w:lang w:val="fr"/>
              </w:rPr>
              <w:t xml:space="preserve">Dengue </w:t>
            </w:r>
            <w:r w:rsidRPr="00DE6F84">
              <w:rPr>
                <w:rFonts w:eastAsia="Times New Roman"/>
                <w:sz w:val="20"/>
                <w:szCs w:val="20"/>
                <w:lang w:val="fr"/>
              </w:rPr>
              <w:br/>
              <w:t>(plusieurs sérotypes)</w:t>
            </w:r>
          </w:p>
          <w:p w:rsidR="00DE6F84" w:rsidRPr="00DE6F84" w:rsidRDefault="00DE6F84" w:rsidP="00DE6F84">
            <w:pPr>
              <w:spacing w:before="0" w:after="0" w:line="240" w:lineRule="auto"/>
              <w:jc w:val="left"/>
              <w:rPr>
                <w:rFonts w:eastAsia="Times New Roman"/>
                <w:sz w:val="20"/>
                <w:szCs w:val="20"/>
                <w:lang w:val="fr-FR"/>
              </w:rPr>
            </w:pPr>
            <w:r w:rsidRPr="00DE6F84">
              <w:rPr>
                <w:rFonts w:eastAsia="Times New Roman"/>
                <w:sz w:val="20"/>
                <w:szCs w:val="20"/>
                <w:lang w:val="fr"/>
              </w:rPr>
              <w:t>DEN-1 et DEN-2</w:t>
            </w:r>
          </w:p>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DEN-1 et DEN-3</w:t>
            </w:r>
          </w:p>
        </w:tc>
        <w:tc>
          <w:tcPr>
            <w:tcW w:w="897" w:type="dxa"/>
          </w:tcPr>
          <w:p w:rsidR="00DE6F84" w:rsidRPr="00DE6F84" w:rsidRDefault="00DE6F84" w:rsidP="00DE6F84">
            <w:pPr>
              <w:spacing w:before="0" w:after="0" w:line="240" w:lineRule="auto"/>
              <w:jc w:val="center"/>
              <w:rPr>
                <w:rFonts w:eastAsia="Times New Roman"/>
                <w:sz w:val="20"/>
                <w:szCs w:val="20"/>
                <w:lang w:val="en-GB"/>
              </w:rPr>
            </w:pPr>
          </w:p>
          <w:p w:rsidR="00DE6F84" w:rsidRPr="00DE6F84" w:rsidRDefault="00DE6F84" w:rsidP="00DE6F84">
            <w:pPr>
              <w:spacing w:before="0" w:after="0" w:line="240" w:lineRule="auto"/>
              <w:jc w:val="center"/>
              <w:rPr>
                <w:rFonts w:eastAsia="Times New Roman"/>
                <w:sz w:val="20"/>
                <w:szCs w:val="20"/>
                <w:lang w:val="en-GB"/>
              </w:rPr>
            </w:pPr>
          </w:p>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p>
          <w:p w:rsidR="00DE6F84" w:rsidRPr="00DE6F84" w:rsidRDefault="00DE6F84" w:rsidP="00DE6F84">
            <w:pPr>
              <w:spacing w:before="0" w:after="0" w:line="240" w:lineRule="auto"/>
              <w:jc w:val="center"/>
              <w:rPr>
                <w:rFonts w:eastAsia="Times New Roman"/>
                <w:sz w:val="20"/>
                <w:szCs w:val="20"/>
                <w:lang w:val="en-GB"/>
              </w:rPr>
            </w:pPr>
          </w:p>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1889</w:t>
            </w:r>
          </w:p>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 DEN-3 ; 6 DEN-1</w:t>
            </w:r>
          </w:p>
        </w:tc>
        <w:tc>
          <w:tcPr>
            <w:tcW w:w="2346" w:type="dxa"/>
          </w:tcPr>
          <w:p w:rsidR="00DE6F84" w:rsidRPr="00DE6F84" w:rsidRDefault="00DE6F84" w:rsidP="00DE6F84">
            <w:pPr>
              <w:spacing w:before="0" w:after="0" w:line="240" w:lineRule="auto"/>
              <w:jc w:val="center"/>
              <w:rPr>
                <w:sz w:val="20"/>
                <w:szCs w:val="20"/>
                <w:lang w:val="en-GB"/>
              </w:rPr>
            </w:pPr>
          </w:p>
          <w:p w:rsidR="00DE6F84" w:rsidRPr="00DE6F84" w:rsidRDefault="00DE6F84" w:rsidP="00DE6F84">
            <w:pPr>
              <w:spacing w:before="0" w:after="0" w:line="240" w:lineRule="auto"/>
              <w:jc w:val="center"/>
              <w:rPr>
                <w:sz w:val="20"/>
                <w:szCs w:val="20"/>
                <w:lang w:val="en-GB"/>
              </w:rPr>
            </w:pPr>
          </w:p>
          <w:p w:rsidR="00DE6F84" w:rsidRPr="00DE6F84" w:rsidRDefault="00DE6F84" w:rsidP="00DE6F84">
            <w:pPr>
              <w:spacing w:before="0" w:after="0" w:line="240" w:lineRule="auto"/>
              <w:jc w:val="center"/>
              <w:rPr>
                <w:sz w:val="20"/>
                <w:szCs w:val="20"/>
                <w:lang w:val="en-GB"/>
              </w:rPr>
            </w:pPr>
            <w:r w:rsidRPr="00DE6F84">
              <w:rPr>
                <w:sz w:val="20"/>
                <w:szCs w:val="20"/>
                <w:lang w:val="fr"/>
              </w:rPr>
              <w:t>NEC</w:t>
            </w:r>
          </w:p>
          <w:p w:rsidR="00DE6F84" w:rsidRPr="00DE6F84" w:rsidRDefault="00DE6F84" w:rsidP="00DE6F84">
            <w:pPr>
              <w:spacing w:before="0" w:after="0" w:line="240" w:lineRule="auto"/>
              <w:jc w:val="center"/>
              <w:rPr>
                <w:sz w:val="20"/>
                <w:szCs w:val="20"/>
                <w:lang w:val="en-GB"/>
              </w:rPr>
            </w:pPr>
            <w:r w:rsidRPr="00DE6F84">
              <w:rPr>
                <w:sz w:val="20"/>
                <w:szCs w:val="20"/>
                <w:lang w:val="fr"/>
              </w:rPr>
              <w:t>COK</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Diarrhée</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561</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KIR</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Rotavirus</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383</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KIR</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Hépatite A</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7</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NEC</w:t>
            </w:r>
          </w:p>
        </w:tc>
      </w:tr>
      <w:tr w:rsidR="00DE6F84" w:rsidRPr="00DE6F84" w:rsidTr="0055668D">
        <w:trPr>
          <w:trHeight w:val="551"/>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fr-FR"/>
              </w:rPr>
            </w:pPr>
            <w:r w:rsidRPr="00DE6F84">
              <w:rPr>
                <w:rFonts w:eastAsia="Times New Roman"/>
                <w:sz w:val="20"/>
                <w:szCs w:val="20"/>
                <w:lang w:val="fr"/>
              </w:rPr>
              <w:t xml:space="preserve">IMD (1 sérogroupe W, </w:t>
            </w:r>
            <w:r w:rsidRPr="00DE6F84">
              <w:rPr>
                <w:rFonts w:eastAsia="Times New Roman"/>
                <w:sz w:val="20"/>
                <w:szCs w:val="20"/>
                <w:lang w:val="fr"/>
              </w:rPr>
              <w:br/>
              <w:t>1 sérogroupe B, 1 clinique)</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3</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WSM</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Grippe A</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PYF</w:t>
            </w:r>
          </w:p>
        </w:tc>
      </w:tr>
      <w:tr w:rsidR="00DE6F84" w:rsidRPr="00DE6F84" w:rsidTr="0055668D">
        <w:trPr>
          <w:trHeight w:val="6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Grippe mixte A+B</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1443</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NEC</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IMD sérogroupe C</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87</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FJI</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fr-FR"/>
              </w:rPr>
            </w:pPr>
            <w:r w:rsidRPr="00DE6F84">
              <w:rPr>
                <w:rFonts w:eastAsia="Times New Roman"/>
                <w:sz w:val="20"/>
                <w:szCs w:val="20"/>
                <w:lang w:val="fr"/>
              </w:rPr>
              <w:t>Klebsiella (associé aux soins de santé)</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66</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ASM</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 xml:space="preserve">Microcéphalie </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3</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ASM</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Norovirus</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FSM</w:t>
            </w:r>
          </w:p>
        </w:tc>
      </w:tr>
      <w:tr w:rsidR="00DE6F84" w:rsidRPr="00DE6F84" w:rsidTr="0055668D">
        <w:trPr>
          <w:trHeight w:val="2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Coqueluche</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3</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VUT</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cVDPV</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21</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PNG</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Arthrite réactionnelle</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15</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VUT</w:t>
            </w:r>
          </w:p>
        </w:tc>
      </w:tr>
      <w:tr w:rsidR="00DE6F84" w:rsidRPr="00DE6F84" w:rsidTr="0055668D">
        <w:trPr>
          <w:trHeight w:val="5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rFonts w:eastAsia="Times New Roman"/>
                <w:sz w:val="20"/>
                <w:szCs w:val="20"/>
                <w:lang w:val="en-GB"/>
              </w:rPr>
            </w:pPr>
            <w:r w:rsidRPr="00DE6F84">
              <w:rPr>
                <w:rFonts w:eastAsia="Times New Roman"/>
                <w:sz w:val="20"/>
                <w:szCs w:val="20"/>
                <w:lang w:val="fr"/>
              </w:rPr>
              <w:t xml:space="preserve">Fièvre typhoïde </w:t>
            </w:r>
          </w:p>
        </w:tc>
        <w:tc>
          <w:tcPr>
            <w:tcW w:w="897"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2</w:t>
            </w:r>
          </w:p>
        </w:tc>
        <w:tc>
          <w:tcPr>
            <w:tcW w:w="1796" w:type="dxa"/>
          </w:tcPr>
          <w:p w:rsidR="00DE6F84" w:rsidRPr="00DE6F84" w:rsidRDefault="00DE6F84" w:rsidP="00DE6F84">
            <w:pPr>
              <w:spacing w:before="0" w:after="0" w:line="240" w:lineRule="auto"/>
              <w:jc w:val="center"/>
              <w:rPr>
                <w:rFonts w:eastAsia="Times New Roman"/>
                <w:sz w:val="20"/>
                <w:szCs w:val="20"/>
                <w:lang w:val="en-GB"/>
              </w:rPr>
            </w:pPr>
            <w:r w:rsidRPr="00DE6F84">
              <w:rPr>
                <w:rFonts w:eastAsia="Times New Roman"/>
                <w:sz w:val="20"/>
                <w:szCs w:val="20"/>
                <w:lang w:val="fr"/>
              </w:rPr>
              <w:t>26</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FJI</w:t>
            </w:r>
          </w:p>
        </w:tc>
      </w:tr>
      <w:tr w:rsidR="00DE6F84" w:rsidRPr="00DE6F84" w:rsidTr="0055668D">
        <w:tc>
          <w:tcPr>
            <w:tcW w:w="1668" w:type="dxa"/>
            <w:vMerge w:val="restart"/>
          </w:tcPr>
          <w:p w:rsidR="00DE6F84" w:rsidRPr="00DE6F84" w:rsidRDefault="00DE6F84" w:rsidP="00DE6F84">
            <w:pPr>
              <w:spacing w:before="0" w:after="0" w:line="240" w:lineRule="auto"/>
              <w:jc w:val="left"/>
              <w:rPr>
                <w:i/>
                <w:sz w:val="20"/>
                <w:szCs w:val="20"/>
                <w:lang w:val="en-GB"/>
              </w:rPr>
            </w:pPr>
            <w:r w:rsidRPr="00DE6F84">
              <w:rPr>
                <w:sz w:val="20"/>
                <w:szCs w:val="20"/>
                <w:lang w:val="fr"/>
              </w:rPr>
              <w:t>Catastrophes (naturelles et autres)</w:t>
            </w:r>
            <w:r w:rsidRPr="00DE6F84">
              <w:rPr>
                <w:sz w:val="20"/>
                <w:szCs w:val="20"/>
                <w:vertAlign w:val="superscript"/>
                <w:lang w:val="fr"/>
              </w:rPr>
              <w:t>c</w:t>
            </w:r>
          </w:p>
          <w:p w:rsidR="00DE6F84" w:rsidRPr="00DE6F84" w:rsidRDefault="00DE6F84" w:rsidP="00DE6F84">
            <w:pPr>
              <w:spacing w:before="0" w:after="0" w:line="240" w:lineRule="auto"/>
              <w:jc w:val="left"/>
              <w:rPr>
                <w:b/>
                <w:i/>
                <w:sz w:val="20"/>
                <w:szCs w:val="20"/>
                <w:lang w:val="en-GB"/>
              </w:rPr>
            </w:pPr>
            <w:r w:rsidRPr="00DE6F84">
              <w:rPr>
                <w:i/>
                <w:iCs/>
                <w:sz w:val="20"/>
                <w:szCs w:val="20"/>
                <w:lang w:val="fr"/>
              </w:rPr>
              <w:br/>
            </w: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Sécheresse</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1 200 000</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AUS</w:t>
            </w:r>
          </w:p>
        </w:tc>
      </w:tr>
      <w:tr w:rsidR="00DE6F84" w:rsidRPr="00DE6F84" w:rsidTr="0055668D">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Séisme</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544 000</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PNG</w:t>
            </w:r>
          </w:p>
        </w:tc>
      </w:tr>
      <w:tr w:rsidR="00DE6F84" w:rsidRPr="00DE6F84" w:rsidTr="0055668D">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 xml:space="preserve">Inondation </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3</w:t>
            </w:r>
          </w:p>
        </w:tc>
        <w:tc>
          <w:tcPr>
            <w:tcW w:w="1796" w:type="dxa"/>
          </w:tcPr>
          <w:p w:rsidR="00DE6F84" w:rsidRPr="00DE6F84" w:rsidRDefault="00DE6F84" w:rsidP="00DE6F84">
            <w:pPr>
              <w:spacing w:before="0" w:after="0" w:line="240" w:lineRule="auto"/>
              <w:jc w:val="center"/>
              <w:rPr>
                <w:sz w:val="20"/>
                <w:szCs w:val="20"/>
                <w:lang w:val="en-GB"/>
              </w:rPr>
            </w:pP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AUS, PYF, NEZ</w:t>
            </w:r>
          </w:p>
        </w:tc>
      </w:tr>
      <w:tr w:rsidR="00DE6F84" w:rsidRPr="00DE6F84" w:rsidTr="0055668D">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sz w:val="20"/>
                <w:szCs w:val="20"/>
                <w:lang w:val="fr-FR"/>
              </w:rPr>
            </w:pPr>
            <w:r w:rsidRPr="00DE6F84">
              <w:rPr>
                <w:sz w:val="20"/>
                <w:szCs w:val="20"/>
                <w:lang w:val="fr"/>
              </w:rPr>
              <w:t>Tempêtes tropicales (cyclones tropicaux compris)</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10</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320 935</w:t>
            </w:r>
          </w:p>
        </w:tc>
        <w:tc>
          <w:tcPr>
            <w:tcW w:w="2346" w:type="dxa"/>
          </w:tcPr>
          <w:p w:rsidR="00DE6F84" w:rsidRPr="00DE6F84" w:rsidRDefault="00DE6F84" w:rsidP="00DE6F84">
            <w:pPr>
              <w:spacing w:before="0" w:after="0" w:line="240" w:lineRule="auto"/>
              <w:jc w:val="center"/>
              <w:rPr>
                <w:sz w:val="20"/>
                <w:szCs w:val="20"/>
                <w:lang w:val="fr-FR"/>
              </w:rPr>
            </w:pPr>
            <w:r w:rsidRPr="00DE6F84">
              <w:rPr>
                <w:sz w:val="20"/>
                <w:szCs w:val="20"/>
                <w:lang w:val="fr"/>
              </w:rPr>
              <w:t>AUS, FJI, MNP, NEZ, WSM, SLB, TON, VUT</w:t>
            </w:r>
          </w:p>
        </w:tc>
      </w:tr>
      <w:tr w:rsidR="00DE6F84" w:rsidRPr="00DE6F84" w:rsidTr="0055668D">
        <w:tc>
          <w:tcPr>
            <w:tcW w:w="1668" w:type="dxa"/>
            <w:vMerge/>
          </w:tcPr>
          <w:p w:rsidR="00DE6F84" w:rsidRPr="00DE6F84" w:rsidRDefault="00DE6F84" w:rsidP="00DE6F84">
            <w:pPr>
              <w:spacing w:before="0" w:after="0" w:line="240" w:lineRule="auto"/>
              <w:jc w:val="left"/>
              <w:rPr>
                <w:sz w:val="20"/>
                <w:szCs w:val="20"/>
                <w:lang w:val="fr-FR"/>
              </w:rPr>
            </w:pP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Activité volcanique</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3</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19 022</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PNG, VUT</w:t>
            </w:r>
          </w:p>
        </w:tc>
      </w:tr>
      <w:tr w:rsidR="00DE6F84" w:rsidRPr="00DE6F84" w:rsidTr="0055668D">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Incendie incontrôlé</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27</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AUS</w:t>
            </w:r>
          </w:p>
        </w:tc>
      </w:tr>
      <w:tr w:rsidR="00DE6F84" w:rsidRPr="00DE6F84" w:rsidTr="0055668D">
        <w:trPr>
          <w:trHeight w:val="69"/>
        </w:trPr>
        <w:tc>
          <w:tcPr>
            <w:tcW w:w="1668" w:type="dxa"/>
            <w:vMerge/>
          </w:tcPr>
          <w:p w:rsidR="00DE6F84" w:rsidRPr="00DE6F84" w:rsidRDefault="00DE6F84" w:rsidP="00DE6F84">
            <w:pPr>
              <w:spacing w:before="0" w:after="0" w:line="240" w:lineRule="auto"/>
              <w:jc w:val="left"/>
              <w:rPr>
                <w:sz w:val="20"/>
                <w:szCs w:val="20"/>
                <w:lang w:val="en-GB"/>
              </w:rPr>
            </w:pPr>
          </w:p>
        </w:tc>
        <w:tc>
          <w:tcPr>
            <w:tcW w:w="2835" w:type="dxa"/>
          </w:tcPr>
          <w:p w:rsidR="00DE6F84" w:rsidRPr="00DE6F84" w:rsidRDefault="00DE6F84" w:rsidP="00DE6F84">
            <w:pPr>
              <w:spacing w:before="0" w:after="0" w:line="240" w:lineRule="auto"/>
              <w:jc w:val="left"/>
              <w:rPr>
                <w:sz w:val="20"/>
                <w:szCs w:val="20"/>
                <w:lang w:val="en-GB"/>
              </w:rPr>
            </w:pPr>
            <w:r w:rsidRPr="00DE6F84">
              <w:rPr>
                <w:sz w:val="20"/>
                <w:szCs w:val="20"/>
                <w:lang w:val="fr"/>
              </w:rPr>
              <w:t>Catastrophe maritime</w:t>
            </w:r>
          </w:p>
        </w:tc>
        <w:tc>
          <w:tcPr>
            <w:tcW w:w="897"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w:t>
            </w:r>
          </w:p>
        </w:tc>
        <w:tc>
          <w:tcPr>
            <w:tcW w:w="179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80 (morts)</w:t>
            </w:r>
          </w:p>
        </w:tc>
        <w:tc>
          <w:tcPr>
            <w:tcW w:w="2346"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KIR</w:t>
            </w:r>
          </w:p>
        </w:tc>
      </w:tr>
    </w:tbl>
    <w:p w:rsidR="00DE6F84" w:rsidRDefault="00DE6F84" w:rsidP="00AB260E">
      <w:pPr>
        <w:spacing w:after="40"/>
        <w:rPr>
          <w:sz w:val="18"/>
          <w:szCs w:val="18"/>
          <w:lang w:val="fr"/>
        </w:rPr>
      </w:pPr>
    </w:p>
    <w:p w:rsidR="00AB260E" w:rsidRPr="000E42A0" w:rsidRDefault="00AB260E" w:rsidP="00AB260E">
      <w:pPr>
        <w:spacing w:after="40"/>
        <w:rPr>
          <w:bCs/>
          <w:sz w:val="18"/>
          <w:szCs w:val="18"/>
          <w:lang w:val="fr-FR"/>
        </w:rPr>
      </w:pPr>
      <w:r w:rsidRPr="000E42A0">
        <w:rPr>
          <w:sz w:val="18"/>
          <w:szCs w:val="18"/>
          <w:lang w:val="fr"/>
        </w:rPr>
        <w:t xml:space="preserve">ASM, Samoa américaines ; AUS, Australie ; COK, Îles Cook ; cVDPV, poliovirus dérivé de la souche vaccinale circulante ; DEN-1, virus de la dengue de type 1 ; DEN-2, virus de la dengue de type 2 ; DEN-3, virus de la dengue de type 3 ; IMD, méningococcie invasive ; FJI, Fidji ; KIR, Kiribati ; MNP, Commonwealth des Îles Mariannes septentrionales ; NEC, ; NEZ, Nouvelle-Zélande ; NRU, Nauru ; PNG, Papouasie-Nouvelle-Guinée ; PYF, Polynésie française ; SLB, Îles Salomon ; TON, Tonga ; VUT, Vanuatu ; WSM, Samoa. </w:t>
      </w:r>
    </w:p>
    <w:p w:rsidR="00AB260E" w:rsidRPr="000E42A0" w:rsidRDefault="00AB260E" w:rsidP="00AB260E">
      <w:pPr>
        <w:spacing w:after="40"/>
        <w:rPr>
          <w:b/>
          <w:sz w:val="18"/>
          <w:szCs w:val="18"/>
          <w:lang w:val="fr-FR"/>
        </w:rPr>
      </w:pPr>
      <w:r w:rsidRPr="000E42A0">
        <w:rPr>
          <w:sz w:val="18"/>
          <w:szCs w:val="18"/>
          <w:vertAlign w:val="superscript"/>
          <w:lang w:val="fr"/>
        </w:rPr>
        <w:t>a</w:t>
      </w:r>
      <w:r w:rsidRPr="000E42A0">
        <w:rPr>
          <w:sz w:val="18"/>
          <w:szCs w:val="18"/>
          <w:lang w:val="fr"/>
        </w:rPr>
        <w:t xml:space="preserve"> Liste non exhaustive.</w:t>
      </w:r>
    </w:p>
    <w:p w:rsidR="00AB260E" w:rsidRPr="000E42A0" w:rsidRDefault="00AB260E" w:rsidP="00AB260E">
      <w:pPr>
        <w:spacing w:after="40"/>
        <w:rPr>
          <w:iCs/>
          <w:sz w:val="18"/>
          <w:szCs w:val="18"/>
          <w:lang w:val="fr-FR"/>
        </w:rPr>
      </w:pPr>
      <w:r w:rsidRPr="000E42A0">
        <w:rPr>
          <w:sz w:val="18"/>
          <w:szCs w:val="18"/>
          <w:vertAlign w:val="superscript"/>
          <w:lang w:val="fr"/>
        </w:rPr>
        <w:t>b</w:t>
      </w:r>
      <w:r w:rsidRPr="000E42A0">
        <w:rPr>
          <w:sz w:val="18"/>
          <w:szCs w:val="18"/>
          <w:lang w:val="fr"/>
        </w:rPr>
        <w:t xml:space="preserve"> États et Territoires insulaires du Pacifique uniquement. Urgences déclarées à l’Organisation mondiale de la Santé ou au PacNet. </w:t>
      </w:r>
    </w:p>
    <w:p w:rsidR="00AB260E" w:rsidRPr="00993748" w:rsidRDefault="00AB260E" w:rsidP="00AB260E">
      <w:pPr>
        <w:spacing w:after="40"/>
        <w:rPr>
          <w:iCs/>
          <w:sz w:val="18"/>
          <w:szCs w:val="18"/>
        </w:rPr>
      </w:pPr>
      <w:r w:rsidRPr="000E42A0">
        <w:rPr>
          <w:sz w:val="18"/>
          <w:szCs w:val="18"/>
          <w:vertAlign w:val="superscript"/>
          <w:lang w:val="fr"/>
        </w:rPr>
        <w:t>c</w:t>
      </w:r>
      <w:r w:rsidRPr="000E42A0">
        <w:rPr>
          <w:sz w:val="18"/>
          <w:szCs w:val="18"/>
          <w:lang w:val="fr"/>
        </w:rPr>
        <w:t xml:space="preserve"> États et Territoires insulaires du Pacifique, Australie et Nouvelle-Zélande. </w:t>
      </w:r>
      <w:r w:rsidRPr="000E42A0">
        <w:rPr>
          <w:sz w:val="18"/>
          <w:szCs w:val="18"/>
        </w:rPr>
        <w:t xml:space="preserve">Urgences enregistrées par le </w:t>
      </w:r>
      <w:r w:rsidRPr="000E42A0">
        <w:rPr>
          <w:rStyle w:val="Strong"/>
          <w:sz w:val="18"/>
          <w:szCs w:val="18"/>
          <w:shd w:val="clear" w:color="auto" w:fill="FFFFFF"/>
        </w:rPr>
        <w:t>Centre for Research on the Epidemiology of Disasters.</w:t>
      </w:r>
    </w:p>
    <w:p w:rsidR="00AB260E" w:rsidRPr="000E42A0" w:rsidRDefault="00AB260E" w:rsidP="00AB260E">
      <w:pPr>
        <w:spacing w:after="120"/>
        <w:rPr>
          <w:i/>
          <w:lang w:val="fr-FR"/>
        </w:rPr>
      </w:pPr>
      <w:r w:rsidRPr="000E42A0">
        <w:rPr>
          <w:b/>
          <w:bCs/>
          <w:lang w:val="fr"/>
        </w:rPr>
        <w:t>Tableau A2. Activités de renforcement de la sécurité sanitaire, 2017-2018</w:t>
      </w:r>
    </w:p>
    <w:tbl>
      <w:tblPr>
        <w:tblStyle w:val="TableGrid2"/>
        <w:tblW w:w="5035" w:type="pct"/>
        <w:tblLook w:val="04A0" w:firstRow="1" w:lastRow="0" w:firstColumn="1" w:lastColumn="0" w:noHBand="0" w:noVBand="1"/>
      </w:tblPr>
      <w:tblGrid>
        <w:gridCol w:w="2377"/>
        <w:gridCol w:w="5497"/>
        <w:gridCol w:w="2164"/>
      </w:tblGrid>
      <w:tr w:rsidR="00DE6F84" w:rsidRPr="00DE6F84" w:rsidTr="0055668D">
        <w:trPr>
          <w:trHeight w:val="69"/>
          <w:tblHeader/>
        </w:trPr>
        <w:tc>
          <w:tcPr>
            <w:tcW w:w="1184" w:type="pct"/>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fr-FR"/>
              </w:rPr>
            </w:pPr>
            <w:r w:rsidRPr="00DE6F84">
              <w:rPr>
                <w:rFonts w:asciiTheme="minorHAnsi" w:hAnsiTheme="minorHAnsi" w:cstheme="minorHAnsi"/>
                <w:b/>
                <w:bCs/>
                <w:sz w:val="20"/>
                <w:szCs w:val="20"/>
                <w:lang w:val="fr"/>
              </w:rPr>
              <w:t>Principale capacité requise au titre du RSI</w:t>
            </w:r>
          </w:p>
        </w:tc>
        <w:tc>
          <w:tcPr>
            <w:tcW w:w="2738" w:type="pct"/>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en-GB"/>
              </w:rPr>
            </w:pPr>
            <w:r w:rsidRPr="00DE6F84">
              <w:rPr>
                <w:rFonts w:asciiTheme="minorHAnsi" w:hAnsiTheme="minorHAnsi" w:cstheme="minorHAnsi"/>
                <w:b/>
                <w:bCs/>
                <w:sz w:val="20"/>
                <w:szCs w:val="20"/>
                <w:lang w:val="fr"/>
              </w:rPr>
              <w:t xml:space="preserve">Types d’action </w:t>
            </w:r>
          </w:p>
        </w:tc>
        <w:tc>
          <w:tcPr>
            <w:tcW w:w="1078" w:type="pct"/>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fr-FR"/>
              </w:rPr>
            </w:pPr>
            <w:r w:rsidRPr="00DE6F84">
              <w:rPr>
                <w:rFonts w:asciiTheme="minorHAnsi" w:hAnsiTheme="minorHAnsi" w:cstheme="minorHAnsi"/>
                <w:b/>
                <w:bCs/>
                <w:sz w:val="20"/>
                <w:szCs w:val="20"/>
                <w:lang w:val="fr"/>
              </w:rPr>
              <w:t>Lieu de mise en œuvre</w:t>
            </w:r>
          </w:p>
        </w:tc>
      </w:tr>
      <w:tr w:rsidR="00DE6F84" w:rsidRPr="00DE6F84" w:rsidTr="0055668D">
        <w:trPr>
          <w:trHeight w:val="69"/>
        </w:trPr>
        <w:tc>
          <w:tcPr>
            <w:tcW w:w="1184" w:type="pct"/>
            <w:vMerge w:val="restart"/>
          </w:tcPr>
          <w:p w:rsidR="00DE6F84" w:rsidRPr="00DE6F84" w:rsidRDefault="00DE6F84" w:rsidP="00DE6F84">
            <w:pPr>
              <w:spacing w:before="0" w:after="0" w:line="240" w:lineRule="auto"/>
              <w:jc w:val="left"/>
              <w:rPr>
                <w:sz w:val="20"/>
                <w:szCs w:val="20"/>
                <w:lang w:val="fr-FR"/>
              </w:rPr>
            </w:pPr>
            <w:r w:rsidRPr="00DE6F84">
              <w:rPr>
                <w:sz w:val="20"/>
                <w:szCs w:val="20"/>
                <w:lang w:val="fr"/>
              </w:rPr>
              <w:t>Coordination, communication et promotion du RSI</w:t>
            </w: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22</w:t>
            </w:r>
            <w:r w:rsidRPr="00DE6F84">
              <w:rPr>
                <w:sz w:val="20"/>
                <w:szCs w:val="20"/>
                <w:vertAlign w:val="superscript"/>
                <w:lang w:val="fr"/>
              </w:rPr>
              <w:t>e</w:t>
            </w:r>
            <w:r w:rsidRPr="00DE6F84">
              <w:rPr>
                <w:sz w:val="20"/>
                <w:szCs w:val="20"/>
                <w:lang w:val="fr"/>
              </w:rPr>
              <w:t xml:space="preserve"> Réunion de l’organe de coordination du ROSSP</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 xml:space="preserve">Atelier RSI intersectoriel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Atelier multisectoriel pour les parties prenantes à la mise en œuvre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VUT</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Formation sur le Cadre de suivi et d’évaluation du RSI dont les évaluations extérieures conjointes (JEE) (pour les partenaires techniques)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Planification de la préparation aux situations d’urgence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FSM</w:t>
            </w:r>
          </w:p>
        </w:tc>
      </w:tr>
      <w:tr w:rsidR="00DE6F84" w:rsidRPr="00DE6F84" w:rsidTr="0055668D">
        <w:trPr>
          <w:trHeight w:val="6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Préparation</w:t>
            </w: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Soutien à l’intervention liée au volcan Ambae</w:t>
            </w:r>
          </w:p>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Formation de l’équipe médicale d’urgence (EMT) nationale</w:t>
            </w:r>
          </w:p>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 xml:space="preserve">Atelier national sur le RSI et la préparation aux situations d’urgence </w:t>
            </w:r>
          </w:p>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Planification de la préparation aux situations d’urgence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VUT</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Planification de la préparation aux situations d’urgence</w:t>
            </w:r>
          </w:p>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Formation de l’équipe médicale d’urgence (EMT) nationale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TON</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Planification de la préparation aux situations d’urgence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FJI</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Planification de la préparation aux situations d’urgence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Exercice de simulation sur les interventions en cas de tsunamis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KIR</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fr-FR"/>
              </w:rPr>
            </w:pPr>
            <w:r w:rsidRPr="00DE6F84">
              <w:rPr>
                <w:color w:val="000000"/>
                <w:sz w:val="20"/>
                <w:szCs w:val="20"/>
                <w:lang w:val="fr"/>
              </w:rPr>
              <w:t>Exercice de simulation sur la gestion des risques liés aux urgences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color w:val="000000"/>
                <w:sz w:val="20"/>
                <w:szCs w:val="20"/>
                <w:lang w:val="en-GB"/>
              </w:rPr>
            </w:pPr>
            <w:r w:rsidRPr="00DE6F84">
              <w:rPr>
                <w:color w:val="000000"/>
                <w:sz w:val="20"/>
                <w:szCs w:val="20"/>
                <w:lang w:val="fr"/>
              </w:rPr>
              <w:t>Exercice de simulation</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CK</w:t>
            </w:r>
          </w:p>
        </w:tc>
      </w:tr>
      <w:tr w:rsidR="00DE6F84" w:rsidRPr="00DE6F84" w:rsidTr="0055668D">
        <w:trPr>
          <w:trHeight w:val="69"/>
        </w:trPr>
        <w:tc>
          <w:tcPr>
            <w:tcW w:w="1184" w:type="pct"/>
            <w:vMerge w:val="restart"/>
          </w:tcPr>
          <w:p w:rsidR="00DE6F84" w:rsidRPr="00DE6F84" w:rsidRDefault="00DE6F84" w:rsidP="00DE6F84">
            <w:pPr>
              <w:spacing w:before="0" w:after="0" w:line="240" w:lineRule="auto"/>
              <w:jc w:val="left"/>
              <w:rPr>
                <w:sz w:val="20"/>
                <w:szCs w:val="20"/>
                <w:lang w:val="fr-FR"/>
              </w:rPr>
            </w:pPr>
            <w:r w:rsidRPr="00DE6F84">
              <w:rPr>
                <w:sz w:val="20"/>
                <w:szCs w:val="20"/>
                <w:lang w:val="fr"/>
              </w:rPr>
              <w:t>Législation, politique et planification nationales</w:t>
            </w:r>
          </w:p>
        </w:tc>
        <w:tc>
          <w:tcPr>
            <w:tcW w:w="2738" w:type="pct"/>
          </w:tcPr>
          <w:p w:rsidR="00DE6F84" w:rsidRPr="00DE6F84" w:rsidRDefault="00DE6F84" w:rsidP="00DE6F84">
            <w:pPr>
              <w:numPr>
                <w:ilvl w:val="0"/>
                <w:numId w:val="25"/>
              </w:numPr>
              <w:spacing w:before="0" w:after="0" w:line="240" w:lineRule="auto"/>
              <w:contextualSpacing/>
              <w:jc w:val="left"/>
              <w:rPr>
                <w:sz w:val="20"/>
                <w:szCs w:val="20"/>
                <w:lang w:val="fr-FR"/>
              </w:rPr>
            </w:pPr>
            <w:r w:rsidRPr="00DE6F84">
              <w:rPr>
                <w:sz w:val="20"/>
                <w:szCs w:val="20"/>
                <w:lang w:val="fr"/>
              </w:rPr>
              <w:t xml:space="preserve">Atelier sur le financement de la sécurité sanitaire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KIR</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5"/>
              </w:numPr>
              <w:spacing w:before="0" w:after="0" w:line="240" w:lineRule="auto"/>
              <w:contextualSpacing/>
              <w:jc w:val="left"/>
              <w:rPr>
                <w:sz w:val="20"/>
                <w:szCs w:val="20"/>
                <w:lang w:val="fr-FR"/>
              </w:rPr>
            </w:pPr>
            <w:r w:rsidRPr="00DE6F84">
              <w:rPr>
                <w:sz w:val="20"/>
                <w:szCs w:val="20"/>
                <w:lang w:val="fr"/>
              </w:rPr>
              <w:t>Finalisation des lignes directrices régionales du ROSSP sur la prévention et la maîtrise des infections (IPC)</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5"/>
              </w:numPr>
              <w:spacing w:before="0" w:after="0" w:line="240" w:lineRule="auto"/>
              <w:contextualSpacing/>
              <w:jc w:val="left"/>
              <w:rPr>
                <w:sz w:val="20"/>
                <w:szCs w:val="20"/>
                <w:lang w:val="fr-FR"/>
              </w:rPr>
            </w:pPr>
            <w:r w:rsidRPr="00DE6F84">
              <w:rPr>
                <w:sz w:val="20"/>
                <w:szCs w:val="20"/>
                <w:lang w:val="fr"/>
              </w:rPr>
              <w:t>Actualisation des plans nationaux de préparation et d’intervention en cas de pandémie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5"/>
              </w:numPr>
              <w:spacing w:before="0" w:after="0" w:line="240" w:lineRule="auto"/>
              <w:contextualSpacing/>
              <w:jc w:val="left"/>
              <w:rPr>
                <w:sz w:val="20"/>
                <w:szCs w:val="20"/>
                <w:lang w:val="fr-FR"/>
              </w:rPr>
            </w:pPr>
            <w:r w:rsidRPr="00DE6F84">
              <w:rPr>
                <w:sz w:val="20"/>
                <w:szCs w:val="20"/>
                <w:lang w:val="fr"/>
              </w:rPr>
              <w:t>Élaboration d’une politique sur les maladies transmissibles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VUT</w:t>
            </w:r>
          </w:p>
        </w:tc>
      </w:tr>
      <w:tr w:rsidR="00DE6F84" w:rsidRPr="00DE6F84" w:rsidTr="0055668D">
        <w:trPr>
          <w:trHeight w:val="25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Laboratoire</w:t>
            </w: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Fourniture de kits d’analyse de l’eau (H2S) </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Atelier sur le renforcement des capacités d’échantillonnage de l’eau</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TUV</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Formation sur le transport de matières infectieuses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Programme de renforcement des services de microbiologie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WSM</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Formation IATA</w:t>
            </w:r>
          </w:p>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Formation et évaluation LQMS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NIU</w:t>
            </w:r>
          </w:p>
        </w:tc>
      </w:tr>
      <w:tr w:rsidR="00DE6F84" w:rsidRPr="00DE6F84" w:rsidTr="0055668D">
        <w:trPr>
          <w:trHeight w:val="274"/>
        </w:trPr>
        <w:tc>
          <w:tcPr>
            <w:tcW w:w="1184" w:type="pct"/>
            <w:vMerge w:val="restart"/>
          </w:tcPr>
          <w:p w:rsidR="00DE6F84" w:rsidRPr="00DE6F84" w:rsidRDefault="00DE6F84" w:rsidP="00DE6F84">
            <w:pPr>
              <w:spacing w:before="0" w:after="0" w:line="240" w:lineRule="auto"/>
              <w:jc w:val="left"/>
              <w:rPr>
                <w:sz w:val="20"/>
                <w:szCs w:val="20"/>
                <w:lang w:val="en-GB"/>
              </w:rPr>
            </w:pPr>
            <w:bookmarkStart w:id="2" w:name="_GoBack"/>
            <w:bookmarkEnd w:id="2"/>
            <w:r w:rsidRPr="00DE6F84">
              <w:rPr>
                <w:sz w:val="20"/>
                <w:szCs w:val="20"/>
                <w:lang w:val="fr"/>
              </w:rPr>
              <w:t>Ressources humaines</w:t>
            </w: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Formation sur le Recueil de données pour la prise de décision | le Renforcement des interventions en santé publique dans le Pacifique (DDM|SHIP) </w:t>
            </w:r>
          </w:p>
        </w:tc>
        <w:tc>
          <w:tcPr>
            <w:tcW w:w="1078" w:type="pct"/>
          </w:tcPr>
          <w:p w:rsidR="00DE6F84" w:rsidRPr="00DE6F84" w:rsidRDefault="00DE6F84" w:rsidP="00DE6F84">
            <w:pPr>
              <w:spacing w:before="0" w:after="0" w:line="240" w:lineRule="auto"/>
              <w:jc w:val="left"/>
              <w:rPr>
                <w:sz w:val="20"/>
                <w:szCs w:val="20"/>
                <w:lang w:val="fr-FR"/>
              </w:rPr>
            </w:pPr>
            <w:r w:rsidRPr="00DE6F84">
              <w:rPr>
                <w:sz w:val="20"/>
                <w:szCs w:val="20"/>
                <w:lang w:val="fr"/>
              </w:rPr>
              <w:t>10 formations aux MHL, PLW, SLB, TKL, TON</w:t>
            </w:r>
          </w:p>
        </w:tc>
      </w:tr>
      <w:tr w:rsidR="00DE6F84" w:rsidRPr="00DE6F84" w:rsidTr="0055668D">
        <w:trPr>
          <w:trHeight w:val="274"/>
        </w:trPr>
        <w:tc>
          <w:tcPr>
            <w:tcW w:w="1184" w:type="pct"/>
            <w:vMerge/>
          </w:tcPr>
          <w:p w:rsidR="00DE6F84" w:rsidRPr="00DE6F84" w:rsidRDefault="00DE6F84" w:rsidP="00DE6F84">
            <w:pPr>
              <w:spacing w:before="0" w:after="0" w:line="240" w:lineRule="auto"/>
              <w:jc w:val="left"/>
              <w:rPr>
                <w:sz w:val="20"/>
                <w:szCs w:val="20"/>
                <w:lang w:val="fr-FR"/>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Formation DDM-PGCFE dispensée à 219 fonctionnaires des ministères de la santé des îles du Pacifique associées aux États-Unis (USAPI)</w:t>
            </w:r>
            <w:r w:rsidRPr="00DE6F84">
              <w:rPr>
                <w:szCs w:val="22"/>
                <w:lang w:val="fr"/>
              </w:rPr>
              <w:t xml:space="preserv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USAPI</w:t>
            </w:r>
          </w:p>
        </w:tc>
      </w:tr>
      <w:tr w:rsidR="00DE6F84" w:rsidRPr="00DE6F84" w:rsidTr="0055668D">
        <w:trPr>
          <w:trHeight w:val="274"/>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Formation en sécurité biologique pour le personnel de laboratoire des USAPI et formation en épidémiologie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GUM</w:t>
            </w:r>
          </w:p>
        </w:tc>
      </w:tr>
      <w:tr w:rsidR="00DE6F84" w:rsidRPr="00DE6F84" w:rsidTr="0055668D">
        <w:trPr>
          <w:trHeight w:val="6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Interventions d’urgence</w:t>
            </w: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Jeux EpiNet USAPI</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color w:val="000000"/>
                <w:sz w:val="20"/>
                <w:szCs w:val="20"/>
                <w:lang w:val="fr"/>
              </w:rPr>
              <w:t>USAPI</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Élaboration d’un manuel opérationnel pour le déploiement des EMT </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color w:val="000000"/>
                <w:sz w:val="20"/>
                <w:szCs w:val="20"/>
                <w:lang w:val="fr"/>
              </w:rPr>
              <w:t>SLB</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Réunion sur la gestion des risques liés aux urgences sanitaires – Prévention, préparation et intervention en cas d’urgences sanitaires dans le Pacifique | Réunion océanienne du GOARN </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color w:val="000000"/>
                <w:sz w:val="20"/>
                <w:szCs w:val="20"/>
                <w:lang w:val="fr"/>
              </w:rPr>
              <w:t>Régional</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Atelier sur la préparation aux situations d’urgence </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color w:val="000000"/>
                <w:sz w:val="20"/>
                <w:szCs w:val="20"/>
                <w:lang w:val="fr"/>
              </w:rPr>
              <w:t>COK</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Exercice de simulation EMT</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color w:val="000000"/>
                <w:sz w:val="20"/>
                <w:szCs w:val="20"/>
                <w:lang w:val="fr"/>
              </w:rPr>
              <w:t>FJI, SLB, TON, VUT</w:t>
            </w:r>
          </w:p>
        </w:tc>
      </w:tr>
      <w:tr w:rsidR="00DE6F84" w:rsidRPr="00DE6F84" w:rsidTr="0055668D">
        <w:trPr>
          <w:trHeight w:val="6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Intervention liée au cyclone Yutu</w:t>
            </w:r>
          </w:p>
        </w:tc>
        <w:tc>
          <w:tcPr>
            <w:tcW w:w="1078" w:type="pct"/>
            <w:vAlign w:val="bottom"/>
          </w:tcPr>
          <w:p w:rsidR="00DE6F84" w:rsidRPr="00DE6F84" w:rsidRDefault="00DE6F84" w:rsidP="00DE6F84">
            <w:pPr>
              <w:spacing w:before="0" w:after="0" w:line="240" w:lineRule="auto"/>
              <w:jc w:val="left"/>
              <w:rPr>
                <w:color w:val="000000"/>
                <w:sz w:val="20"/>
                <w:szCs w:val="20"/>
                <w:lang w:val="en-GB"/>
              </w:rPr>
            </w:pPr>
            <w:r w:rsidRPr="00DE6F84">
              <w:rPr>
                <w:sz w:val="20"/>
                <w:szCs w:val="20"/>
                <w:lang w:val="fr"/>
              </w:rPr>
              <w:t>MNP</w:t>
            </w:r>
          </w:p>
        </w:tc>
      </w:tr>
      <w:tr w:rsidR="00DE6F84" w:rsidRPr="00DE6F84" w:rsidTr="0055668D">
        <w:trPr>
          <w:trHeight w:val="25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Surveillance</w:t>
            </w: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9</w:t>
            </w:r>
            <w:r w:rsidRPr="00DE6F84">
              <w:rPr>
                <w:sz w:val="20"/>
                <w:szCs w:val="20"/>
                <w:vertAlign w:val="superscript"/>
                <w:lang w:val="fr"/>
              </w:rPr>
              <w:t>e</w:t>
            </w:r>
            <w:r w:rsidRPr="00DE6F84">
              <w:rPr>
                <w:sz w:val="20"/>
                <w:szCs w:val="20"/>
                <w:lang w:val="fr"/>
              </w:rPr>
              <w:t xml:space="preserve"> Jeux micronésiens – surveillance renforcée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 xml:space="preserve">FSM </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Formation sur le manuel de surveillance SRAS/ILI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KIR, NRU, SLB, VUT</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12</w:t>
            </w:r>
            <w:r w:rsidRPr="00DE6F84">
              <w:rPr>
                <w:sz w:val="20"/>
                <w:szCs w:val="20"/>
                <w:vertAlign w:val="superscript"/>
                <w:lang w:val="fr"/>
              </w:rPr>
              <w:t>e</w:t>
            </w:r>
            <w:r w:rsidRPr="00DE6F84">
              <w:rPr>
                <w:sz w:val="20"/>
                <w:szCs w:val="20"/>
                <w:lang w:val="fr"/>
              </w:rPr>
              <w:t xml:space="preserve"> réunion birégionale des Centres nationaux de lutte contre la grippe (NIC) et de surveillance de la grippe dans les régions de l’Asie du Sud-Est et du Pacifique occidental</w:t>
            </w:r>
          </w:p>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Surveillance de la santé publique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Formation sur la surveillance des événements et l’information sur la santé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Réunion sur le renforcement des systèmes dans les pays insulaires du Pacifique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FJI</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EpiAid pour le renforcement de la surveillance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ASM</w:t>
            </w:r>
          </w:p>
        </w:tc>
      </w:tr>
      <w:tr w:rsidR="00DE6F84" w:rsidRPr="00DE6F84" w:rsidTr="0055668D">
        <w:trPr>
          <w:trHeight w:val="245"/>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 xml:space="preserve">Communications des risques </w:t>
            </w: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Élaboration de directives nationales de communication des risques </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Formation à la communication dans le domaine des médias et de la santé</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FJI</w:t>
            </w:r>
          </w:p>
        </w:tc>
      </w:tr>
      <w:tr w:rsidR="00DE6F84" w:rsidRPr="00DE6F84" w:rsidTr="0055668D">
        <w:trPr>
          <w:trHeight w:val="245"/>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TechCamp-Communication pour la santé dans le Pacifique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45"/>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Exercice de simulation sur la communication des risques </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Formation sur la communication des risques et consultations sur les stratégies nationales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KIR</w:t>
            </w:r>
          </w:p>
        </w:tc>
      </w:tr>
      <w:tr w:rsidR="00DE6F84" w:rsidRPr="00DE6F84" w:rsidTr="0055668D">
        <w:trPr>
          <w:trHeight w:val="245"/>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Élaboration de directives sur la communication des risques </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Exercice de simulation sur la communication des risques</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Formation multisectorielle sur la communication des risques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r w:rsidR="00DE6F84" w:rsidRPr="00DE6F84" w:rsidTr="0055668D">
        <w:trPr>
          <w:trHeight w:val="245"/>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vAlign w:val="bottom"/>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 xml:space="preserve">Consultations en vue de l’élaboration d’une stratégie ministérielle de communication des risques </w:t>
            </w:r>
          </w:p>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Exercice de simulation sur l’intervention en cas de flambée épidémique, axé sur la communication des risques</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VUT</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Assistance technique USAPI en entomologie médicale, Yap, Chuuk, Pohnpei, Majuro</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FSM</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Assistance technique USAPI en entomologie médicale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ASM</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fr-FR"/>
              </w:rPr>
            </w:pPr>
            <w:r w:rsidRPr="00DE6F84">
              <w:rPr>
                <w:sz w:val="20"/>
                <w:szCs w:val="20"/>
                <w:lang w:val="fr"/>
              </w:rPr>
              <w:t>Assistance technique USAPI en entomologie médicale, Majuro</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MHL</w:t>
            </w:r>
          </w:p>
        </w:tc>
      </w:tr>
      <w:tr w:rsidR="00DE6F84" w:rsidRPr="00DE6F84" w:rsidTr="0055668D">
        <w:trPr>
          <w:trHeight w:val="51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Résistance aux antimicrobiens</w:t>
            </w:r>
          </w:p>
        </w:tc>
        <w:tc>
          <w:tcPr>
            <w:tcW w:w="2738" w:type="pct"/>
          </w:tcPr>
          <w:p w:rsidR="00DE6F84" w:rsidRPr="00DE6F84" w:rsidRDefault="00DE6F84" w:rsidP="00DE6F84">
            <w:pPr>
              <w:numPr>
                <w:ilvl w:val="0"/>
                <w:numId w:val="24"/>
              </w:numPr>
              <w:spacing w:before="0" w:after="0" w:line="240" w:lineRule="auto"/>
              <w:contextualSpacing/>
              <w:jc w:val="left"/>
              <w:rPr>
                <w:sz w:val="20"/>
                <w:szCs w:val="20"/>
                <w:lang w:val="en-GB"/>
              </w:rPr>
            </w:pPr>
            <w:r w:rsidRPr="00DE6F84">
              <w:rPr>
                <w:sz w:val="20"/>
                <w:szCs w:val="20"/>
                <w:lang w:val="fr"/>
              </w:rPr>
              <w:t xml:space="preserve">Évaluation du programme IPC  </w:t>
            </w:r>
          </w:p>
          <w:p w:rsidR="00DE6F84" w:rsidRPr="00DE6F84" w:rsidRDefault="00DE6F84" w:rsidP="00DE6F84">
            <w:pPr>
              <w:numPr>
                <w:ilvl w:val="0"/>
                <w:numId w:val="24"/>
              </w:numPr>
              <w:spacing w:before="0" w:after="0" w:line="240" w:lineRule="auto"/>
              <w:contextualSpacing/>
              <w:jc w:val="left"/>
              <w:rPr>
                <w:sz w:val="20"/>
                <w:szCs w:val="20"/>
                <w:lang w:val="fr-FR"/>
              </w:rPr>
            </w:pPr>
            <w:r w:rsidRPr="00DE6F84">
              <w:rPr>
                <w:sz w:val="20"/>
                <w:szCs w:val="20"/>
                <w:lang w:val="fr"/>
              </w:rPr>
              <w:t>Formation à l’utilisation de l’outil d’évaluation IPC et à son application</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FJI</w:t>
            </w:r>
          </w:p>
        </w:tc>
      </w:tr>
      <w:tr w:rsidR="00DE6F84" w:rsidRPr="00DE6F84" w:rsidTr="0055668D">
        <w:trPr>
          <w:trHeight w:val="51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2"/>
              </w:numPr>
              <w:spacing w:before="0" w:after="0" w:line="240" w:lineRule="auto"/>
              <w:contextualSpacing/>
              <w:jc w:val="left"/>
              <w:rPr>
                <w:sz w:val="20"/>
                <w:szCs w:val="20"/>
                <w:lang w:val="fr-FR"/>
              </w:rPr>
            </w:pPr>
            <w:r w:rsidRPr="00DE6F84">
              <w:rPr>
                <w:sz w:val="20"/>
                <w:szCs w:val="20"/>
                <w:lang w:val="fr"/>
              </w:rPr>
              <w:t xml:space="preserve">Deux ateliers multipartites sur la RAM </w:t>
            </w:r>
          </w:p>
          <w:p w:rsidR="00DE6F84" w:rsidRPr="00DE6F84" w:rsidRDefault="00DE6F84" w:rsidP="00DE6F84">
            <w:pPr>
              <w:numPr>
                <w:ilvl w:val="0"/>
                <w:numId w:val="22"/>
              </w:numPr>
              <w:spacing w:before="0" w:after="0" w:line="240" w:lineRule="auto"/>
              <w:contextualSpacing/>
              <w:jc w:val="left"/>
              <w:rPr>
                <w:sz w:val="20"/>
                <w:szCs w:val="20"/>
                <w:lang w:val="fr-FR"/>
              </w:rPr>
            </w:pPr>
            <w:r w:rsidRPr="00DE6F84">
              <w:rPr>
                <w:sz w:val="20"/>
                <w:szCs w:val="20"/>
                <w:lang w:val="fr"/>
              </w:rPr>
              <w:t xml:space="preserve">Rédaction d’un plan d’action national sur la RAM (2018)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KIR</w:t>
            </w:r>
          </w:p>
        </w:tc>
      </w:tr>
      <w:tr w:rsidR="00DE6F84" w:rsidRPr="00DE6F84" w:rsidTr="0055668D">
        <w:trPr>
          <w:trHeight w:val="51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2"/>
              </w:numPr>
              <w:spacing w:before="0" w:after="0" w:line="240" w:lineRule="auto"/>
              <w:contextualSpacing/>
              <w:jc w:val="left"/>
              <w:rPr>
                <w:sz w:val="20"/>
                <w:szCs w:val="20"/>
                <w:lang w:val="fr-FR"/>
              </w:rPr>
            </w:pPr>
            <w:r w:rsidRPr="00DE6F84">
              <w:rPr>
                <w:sz w:val="20"/>
                <w:szCs w:val="20"/>
                <w:lang w:val="fr"/>
              </w:rPr>
              <w:t xml:space="preserve">Élaboration d’un plan d’action national sur la RAM </w:t>
            </w:r>
          </w:p>
          <w:p w:rsidR="00DE6F84" w:rsidRPr="00DE6F84" w:rsidRDefault="00DE6F84" w:rsidP="00DE6F84">
            <w:pPr>
              <w:numPr>
                <w:ilvl w:val="0"/>
                <w:numId w:val="22"/>
              </w:numPr>
              <w:spacing w:before="0" w:after="0" w:line="240" w:lineRule="auto"/>
              <w:contextualSpacing/>
              <w:jc w:val="left"/>
              <w:rPr>
                <w:sz w:val="20"/>
                <w:szCs w:val="20"/>
                <w:lang w:val="en-GB"/>
              </w:rPr>
            </w:pPr>
            <w:r w:rsidRPr="00DE6F84">
              <w:rPr>
                <w:sz w:val="20"/>
                <w:szCs w:val="20"/>
                <w:lang w:val="fr"/>
              </w:rPr>
              <w:t xml:space="preserve">Examen des directives IPC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VUT</w:t>
            </w:r>
          </w:p>
        </w:tc>
      </w:tr>
      <w:tr w:rsidR="00DE6F84" w:rsidRPr="00DE6F84" w:rsidTr="0055668D">
        <w:trPr>
          <w:trHeight w:val="51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3"/>
              </w:numPr>
              <w:spacing w:before="0" w:after="0" w:line="240" w:lineRule="auto"/>
              <w:contextualSpacing/>
              <w:jc w:val="left"/>
              <w:rPr>
                <w:sz w:val="20"/>
                <w:szCs w:val="20"/>
                <w:lang w:val="fr-FR"/>
              </w:rPr>
            </w:pPr>
            <w:r w:rsidRPr="00DE6F84">
              <w:rPr>
                <w:sz w:val="20"/>
                <w:szCs w:val="20"/>
                <w:lang w:val="fr"/>
              </w:rPr>
              <w:t>Atelier sur la gestion des antimicrobiens et l’usage rationnel des médicaments dans les pays insulaires du Pacifique</w:t>
            </w:r>
          </w:p>
          <w:p w:rsidR="00DE6F84" w:rsidRPr="00DE6F84" w:rsidRDefault="00DE6F84" w:rsidP="00DE6F84">
            <w:pPr>
              <w:numPr>
                <w:ilvl w:val="0"/>
                <w:numId w:val="23"/>
              </w:numPr>
              <w:spacing w:before="0" w:after="0" w:line="240" w:lineRule="auto"/>
              <w:contextualSpacing/>
              <w:jc w:val="left"/>
              <w:rPr>
                <w:sz w:val="20"/>
                <w:szCs w:val="20"/>
                <w:lang w:val="fr-FR"/>
              </w:rPr>
            </w:pPr>
            <w:r w:rsidRPr="00DE6F84">
              <w:rPr>
                <w:sz w:val="20"/>
                <w:szCs w:val="20"/>
                <w:lang w:val="fr"/>
              </w:rPr>
              <w:t>Réunion sur l’assurance qualité et l’usage rationnel des médicaments essentiels dans les pays insulaires du Pacifique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59"/>
        </w:trPr>
        <w:tc>
          <w:tcPr>
            <w:tcW w:w="1184" w:type="pct"/>
          </w:tcPr>
          <w:p w:rsidR="00DE6F84" w:rsidRPr="00DE6F84" w:rsidRDefault="00DE6F84" w:rsidP="00DE6F84">
            <w:pPr>
              <w:spacing w:before="0" w:after="0" w:line="240" w:lineRule="auto"/>
              <w:jc w:val="left"/>
              <w:rPr>
                <w:sz w:val="20"/>
                <w:szCs w:val="20"/>
                <w:lang w:val="en-GB"/>
              </w:rPr>
            </w:pPr>
            <w:r w:rsidRPr="00DE6F84">
              <w:rPr>
                <w:sz w:val="20"/>
                <w:szCs w:val="20"/>
                <w:lang w:val="fr"/>
              </w:rPr>
              <w:t>Zoonoses</w:t>
            </w:r>
          </w:p>
        </w:tc>
        <w:tc>
          <w:tcPr>
            <w:tcW w:w="2738" w:type="pct"/>
          </w:tcPr>
          <w:p w:rsidR="00DE6F84" w:rsidRPr="00DE6F84" w:rsidRDefault="00DE6F84" w:rsidP="00DE6F84">
            <w:pPr>
              <w:numPr>
                <w:ilvl w:val="0"/>
                <w:numId w:val="26"/>
              </w:numPr>
              <w:spacing w:before="0" w:after="0" w:line="240" w:lineRule="auto"/>
              <w:contextualSpacing/>
              <w:jc w:val="left"/>
              <w:rPr>
                <w:sz w:val="20"/>
                <w:szCs w:val="20"/>
                <w:lang w:val="en-GB"/>
              </w:rPr>
            </w:pPr>
            <w:r w:rsidRPr="00DE6F84">
              <w:rPr>
                <w:sz w:val="20"/>
                <w:szCs w:val="20"/>
                <w:lang w:val="fr"/>
              </w:rPr>
              <w:t>Réunion One Health</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74"/>
        </w:trPr>
        <w:tc>
          <w:tcPr>
            <w:tcW w:w="1184" w:type="pct"/>
          </w:tcPr>
          <w:p w:rsidR="00DE6F84" w:rsidRPr="00DE6F84" w:rsidRDefault="00DE6F84" w:rsidP="00DE6F84">
            <w:pPr>
              <w:spacing w:before="0" w:after="0" w:line="240" w:lineRule="auto"/>
              <w:jc w:val="left"/>
              <w:rPr>
                <w:sz w:val="20"/>
                <w:szCs w:val="20"/>
                <w:lang w:val="en-GB"/>
              </w:rPr>
            </w:pPr>
            <w:r w:rsidRPr="00DE6F84">
              <w:rPr>
                <w:sz w:val="20"/>
                <w:szCs w:val="20"/>
                <w:lang w:val="fr"/>
              </w:rPr>
              <w:t>Vaccination</w:t>
            </w: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Dixième réunion des directeurs de programmes de vaccination du Pacifique</w:t>
            </w:r>
          </w:p>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Suivi et évaluation à l’aide de la JEE</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Régional</w:t>
            </w:r>
          </w:p>
        </w:tc>
      </w:tr>
      <w:tr w:rsidR="00DE6F84" w:rsidRPr="00DE6F84" w:rsidTr="0055668D">
        <w:trPr>
          <w:trHeight w:val="259"/>
        </w:trPr>
        <w:tc>
          <w:tcPr>
            <w:tcW w:w="1184" w:type="pct"/>
            <w:vMerge w:val="restart"/>
          </w:tcPr>
          <w:p w:rsidR="00DE6F84" w:rsidRPr="00DE6F84" w:rsidRDefault="00DE6F84" w:rsidP="00DE6F84">
            <w:pPr>
              <w:spacing w:before="0" w:after="0" w:line="240" w:lineRule="auto"/>
              <w:jc w:val="left"/>
              <w:rPr>
                <w:sz w:val="20"/>
                <w:szCs w:val="20"/>
                <w:lang w:val="en-GB"/>
              </w:rPr>
            </w:pPr>
            <w:r w:rsidRPr="00DE6F84">
              <w:rPr>
                <w:sz w:val="20"/>
                <w:szCs w:val="20"/>
                <w:lang w:val="fr"/>
              </w:rPr>
              <w:t>Points d’entrée</w:t>
            </w: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Exercice de simulation sur le SRAS aux points d’entrée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COK, NIU</w:t>
            </w:r>
          </w:p>
        </w:tc>
      </w:tr>
      <w:tr w:rsidR="00DE6F84" w:rsidRPr="00DE6F84" w:rsidTr="0055668D">
        <w:trPr>
          <w:trHeight w:val="259"/>
        </w:trPr>
        <w:tc>
          <w:tcPr>
            <w:tcW w:w="1184" w:type="pct"/>
            <w:vMerge/>
          </w:tcPr>
          <w:p w:rsidR="00DE6F84" w:rsidRPr="00DE6F84" w:rsidRDefault="00DE6F84" w:rsidP="00DE6F84">
            <w:pPr>
              <w:spacing w:before="0" w:after="0" w:line="240" w:lineRule="auto"/>
              <w:jc w:val="left"/>
              <w:rPr>
                <w:sz w:val="20"/>
                <w:szCs w:val="20"/>
                <w:lang w:val="en-GB"/>
              </w:rPr>
            </w:pPr>
          </w:p>
        </w:tc>
        <w:tc>
          <w:tcPr>
            <w:tcW w:w="2738" w:type="pct"/>
          </w:tcPr>
          <w:p w:rsidR="00DE6F84" w:rsidRPr="00DE6F84" w:rsidRDefault="00DE6F84" w:rsidP="00DE6F84">
            <w:pPr>
              <w:numPr>
                <w:ilvl w:val="0"/>
                <w:numId w:val="27"/>
              </w:numPr>
              <w:spacing w:before="0" w:after="0" w:line="240" w:lineRule="auto"/>
              <w:contextualSpacing/>
              <w:jc w:val="left"/>
              <w:rPr>
                <w:sz w:val="20"/>
                <w:szCs w:val="20"/>
                <w:lang w:val="fr-FR"/>
              </w:rPr>
            </w:pPr>
            <w:r w:rsidRPr="00DE6F84">
              <w:rPr>
                <w:sz w:val="20"/>
                <w:szCs w:val="20"/>
                <w:lang w:val="fr"/>
              </w:rPr>
              <w:t xml:space="preserve">Atelier intersectoriel sur le renforcement du RSI aux points d’entrée </w:t>
            </w:r>
          </w:p>
        </w:tc>
        <w:tc>
          <w:tcPr>
            <w:tcW w:w="1078" w:type="pct"/>
          </w:tcPr>
          <w:p w:rsidR="00DE6F84" w:rsidRPr="00DE6F84" w:rsidRDefault="00DE6F84" w:rsidP="00DE6F84">
            <w:pPr>
              <w:spacing w:before="0" w:after="0" w:line="240" w:lineRule="auto"/>
              <w:jc w:val="left"/>
              <w:rPr>
                <w:sz w:val="20"/>
                <w:szCs w:val="20"/>
                <w:lang w:val="en-GB"/>
              </w:rPr>
            </w:pPr>
            <w:r w:rsidRPr="00DE6F84">
              <w:rPr>
                <w:sz w:val="20"/>
                <w:szCs w:val="20"/>
                <w:lang w:val="fr"/>
              </w:rPr>
              <w:t>SLB</w:t>
            </w:r>
          </w:p>
        </w:tc>
      </w:tr>
    </w:tbl>
    <w:p w:rsidR="00DE6F84" w:rsidRDefault="00DE6F84" w:rsidP="00AB260E">
      <w:pPr>
        <w:spacing w:after="40"/>
        <w:rPr>
          <w:sz w:val="18"/>
          <w:szCs w:val="18"/>
          <w:vertAlign w:val="superscript"/>
          <w:lang w:val="fr"/>
        </w:rPr>
      </w:pPr>
    </w:p>
    <w:p w:rsidR="00AB260E" w:rsidRPr="000E42A0" w:rsidRDefault="00AB260E" w:rsidP="00AB260E">
      <w:pPr>
        <w:spacing w:after="40"/>
        <w:rPr>
          <w:b/>
          <w:sz w:val="24"/>
        </w:rPr>
      </w:pPr>
      <w:r w:rsidRPr="000E42A0">
        <w:rPr>
          <w:sz w:val="18"/>
          <w:szCs w:val="18"/>
          <w:vertAlign w:val="superscript"/>
          <w:lang w:val="fr"/>
        </w:rPr>
        <w:t>a</w:t>
      </w:r>
      <w:r w:rsidRPr="000E42A0">
        <w:rPr>
          <w:sz w:val="18"/>
          <w:szCs w:val="18"/>
          <w:lang w:val="fr"/>
        </w:rPr>
        <w:t xml:space="preserve"> Liste non exhaustive.</w:t>
      </w:r>
      <w:r w:rsidRPr="000E42A0">
        <w:rPr>
          <w:b/>
          <w:bCs/>
          <w:sz w:val="24"/>
          <w:lang w:val="fr"/>
        </w:rPr>
        <w:t xml:space="preserve"> </w:t>
      </w:r>
    </w:p>
    <w:p w:rsidR="00AB260E" w:rsidRPr="000E42A0" w:rsidRDefault="00AB260E" w:rsidP="00AB260E">
      <w:pPr>
        <w:spacing w:after="40"/>
        <w:rPr>
          <w:bCs/>
          <w:sz w:val="18"/>
          <w:szCs w:val="18"/>
          <w:lang w:val="fr-FR"/>
        </w:rPr>
      </w:pPr>
      <w:r w:rsidRPr="000E42A0">
        <w:rPr>
          <w:sz w:val="18"/>
          <w:szCs w:val="18"/>
          <w:lang w:val="fr"/>
        </w:rPr>
        <w:t>RAM, résistance aux antimicrobiens ; ASM, Samoa américaines ; COK, Îles Cook ; EMT, équipe médicale d’urgence ; FJI, Fidji ; FSM, États fédérés de Micronésie ; GOARN, Réseau mondial OMS d’alerte et d’action en cas d’épidémie ;</w:t>
      </w:r>
      <w:r w:rsidRPr="000E42A0">
        <w:rPr>
          <w:sz w:val="20"/>
          <w:szCs w:val="20"/>
          <w:lang w:val="fr"/>
        </w:rPr>
        <w:t xml:space="preserve"> </w:t>
      </w:r>
      <w:r w:rsidRPr="000E42A0">
        <w:rPr>
          <w:sz w:val="18"/>
          <w:szCs w:val="18"/>
          <w:lang w:val="fr"/>
        </w:rPr>
        <w:t xml:space="preserve">IATA, Association internationale du transport aérien ; RSI, Règlement sanitaire international ; ILI, syndrome de type grippal ; IPC, prévention et maîtrise des infections ; JEE, évaluation extérieure conjointe ; KIR, Kiribati ; LQMS, système de gestion de la qualité des laboratoires ; MHL, Îles Marshall ; MNP, Commonwealth des Îles Mariannes septentrionales ; NIU, Nioué ; NRU, Nauru ; PGCFE, certificat de troisième cycle en épidémiologie de terrain ; PNG, Papouasie-Nouvelle-Guinée ; PLW, Palaos ; ROSSP, Réseau océanien de surveillance de la santé publique ; SRAS, syndrome respiratoire aigu sévère ; SLB, Îles Salomon ; TA, assistance technique ; TKL, Tokélaou ; TON, Tonga ; USAPI, îles du Pacifique associées aux États-Unis ; VUT, Vanuatu ; WSM, Samoa. </w:t>
      </w:r>
    </w:p>
    <w:p w:rsidR="00AB260E" w:rsidRPr="000E42A0" w:rsidRDefault="00AB260E" w:rsidP="00AB260E">
      <w:pPr>
        <w:spacing w:after="120"/>
        <w:rPr>
          <w:b/>
          <w:lang w:val="fr-FR"/>
        </w:rPr>
      </w:pPr>
      <w:r w:rsidRPr="000E42A0">
        <w:rPr>
          <w:b/>
          <w:bCs/>
          <w:lang w:val="fr"/>
        </w:rPr>
        <w:t xml:space="preserve">Tableau A3. Résultats du suivi et de l’évaluation du RSI, 2017-2018 </w:t>
      </w:r>
    </w:p>
    <w:tbl>
      <w:tblPr>
        <w:tblStyle w:val="TableGrid3"/>
        <w:tblW w:w="0" w:type="auto"/>
        <w:tblLook w:val="04A0" w:firstRow="1" w:lastRow="0" w:firstColumn="1" w:lastColumn="0" w:noHBand="0" w:noVBand="1"/>
      </w:tblPr>
      <w:tblGrid>
        <w:gridCol w:w="2452"/>
        <w:gridCol w:w="1625"/>
        <w:gridCol w:w="2694"/>
        <w:gridCol w:w="2471"/>
      </w:tblGrid>
      <w:tr w:rsidR="00DE6F84" w:rsidRPr="00DE6F84" w:rsidTr="0055668D">
        <w:tc>
          <w:tcPr>
            <w:tcW w:w="2452" w:type="dxa"/>
            <w:shd w:val="clear" w:color="auto" w:fill="DBE5F1" w:themeFill="accent1" w:themeFillTint="33"/>
          </w:tcPr>
          <w:p w:rsidR="00DE6F84" w:rsidRPr="00DE6F84" w:rsidRDefault="00DE6F84" w:rsidP="00DE6F84">
            <w:pPr>
              <w:spacing w:before="0" w:after="0" w:line="240" w:lineRule="auto"/>
              <w:jc w:val="left"/>
              <w:rPr>
                <w:rFonts w:asciiTheme="minorHAnsi" w:hAnsiTheme="minorHAnsi" w:cstheme="minorHAnsi"/>
                <w:b/>
                <w:sz w:val="20"/>
                <w:szCs w:val="20"/>
                <w:lang w:val="fr-FR"/>
              </w:rPr>
            </w:pPr>
            <w:r w:rsidRPr="00DE6F84">
              <w:rPr>
                <w:rFonts w:asciiTheme="minorHAnsi" w:hAnsiTheme="minorHAnsi" w:cstheme="minorHAnsi"/>
                <w:b/>
                <w:bCs/>
                <w:sz w:val="20"/>
                <w:szCs w:val="20"/>
                <w:lang w:val="fr"/>
              </w:rPr>
              <w:t>Composante du Cadre de suivi et d’évaluation du RSI</w:t>
            </w:r>
          </w:p>
        </w:tc>
        <w:tc>
          <w:tcPr>
            <w:tcW w:w="1625"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 xml:space="preserve">Réalisé </w:t>
            </w:r>
          </w:p>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(2017–2018)</w:t>
            </w:r>
          </w:p>
        </w:tc>
        <w:tc>
          <w:tcPr>
            <w:tcW w:w="2694"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État ou Territoire</w:t>
            </w:r>
          </w:p>
        </w:tc>
        <w:tc>
          <w:tcPr>
            <w:tcW w:w="2471" w:type="dxa"/>
            <w:shd w:val="clear" w:color="auto" w:fill="DBE5F1" w:themeFill="accent1" w:themeFillTint="33"/>
          </w:tcPr>
          <w:p w:rsidR="00DE6F84" w:rsidRPr="00DE6F84" w:rsidRDefault="00DE6F84" w:rsidP="00DE6F84">
            <w:pPr>
              <w:spacing w:before="0" w:after="0" w:line="240" w:lineRule="auto"/>
              <w:jc w:val="center"/>
              <w:rPr>
                <w:rFonts w:asciiTheme="minorHAnsi" w:hAnsiTheme="minorHAnsi" w:cstheme="minorHAnsi"/>
                <w:b/>
                <w:sz w:val="20"/>
                <w:szCs w:val="20"/>
                <w:lang w:val="en-GB"/>
              </w:rPr>
            </w:pPr>
            <w:r w:rsidRPr="00DE6F84">
              <w:rPr>
                <w:rFonts w:asciiTheme="minorHAnsi" w:hAnsiTheme="minorHAnsi" w:cstheme="minorHAnsi"/>
                <w:b/>
                <w:bCs/>
                <w:sz w:val="20"/>
                <w:szCs w:val="20"/>
                <w:lang w:val="fr"/>
              </w:rPr>
              <w:t>Prévu (2019–)</w:t>
            </w:r>
          </w:p>
        </w:tc>
      </w:tr>
      <w:tr w:rsidR="00DE6F84" w:rsidRPr="00DE6F84" w:rsidTr="0055668D">
        <w:tc>
          <w:tcPr>
            <w:tcW w:w="2452" w:type="dxa"/>
          </w:tcPr>
          <w:p w:rsidR="00DE6F84" w:rsidRPr="00DE6F84" w:rsidRDefault="00DE6F84" w:rsidP="00DE6F84">
            <w:pPr>
              <w:spacing w:before="0" w:after="0" w:line="240" w:lineRule="auto"/>
              <w:jc w:val="left"/>
              <w:rPr>
                <w:sz w:val="20"/>
                <w:szCs w:val="20"/>
                <w:lang w:val="en-GB"/>
              </w:rPr>
            </w:pPr>
            <w:r w:rsidRPr="00DE6F84">
              <w:rPr>
                <w:sz w:val="20"/>
                <w:szCs w:val="20"/>
                <w:lang w:val="fr"/>
              </w:rPr>
              <w:t>Évaluation extérieure conjointe</w:t>
            </w:r>
          </w:p>
        </w:tc>
        <w:tc>
          <w:tcPr>
            <w:tcW w:w="1625"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3</w:t>
            </w:r>
          </w:p>
        </w:tc>
        <w:tc>
          <w:tcPr>
            <w:tcW w:w="2694"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AUS, FSM, NEZ</w:t>
            </w:r>
          </w:p>
        </w:tc>
        <w:tc>
          <w:tcPr>
            <w:tcW w:w="2471"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PLW, MHL et PNG</w:t>
            </w:r>
          </w:p>
          <w:p w:rsidR="00DE6F84" w:rsidRPr="00DE6F84" w:rsidRDefault="00DE6F84" w:rsidP="00DE6F84">
            <w:pPr>
              <w:spacing w:before="0" w:after="0" w:line="240" w:lineRule="auto"/>
              <w:jc w:val="center"/>
              <w:rPr>
                <w:sz w:val="20"/>
                <w:szCs w:val="20"/>
                <w:lang w:val="en-GB"/>
              </w:rPr>
            </w:pPr>
          </w:p>
        </w:tc>
      </w:tr>
      <w:tr w:rsidR="00DE6F84" w:rsidRPr="00DE6F84" w:rsidTr="0055668D">
        <w:tc>
          <w:tcPr>
            <w:tcW w:w="2452" w:type="dxa"/>
          </w:tcPr>
          <w:p w:rsidR="00DE6F84" w:rsidRPr="00DE6F84" w:rsidRDefault="00DE6F84" w:rsidP="00DE6F84">
            <w:pPr>
              <w:spacing w:before="0" w:after="0" w:line="240" w:lineRule="auto"/>
              <w:jc w:val="left"/>
              <w:rPr>
                <w:sz w:val="20"/>
                <w:szCs w:val="20"/>
                <w:lang w:val="en-GB"/>
              </w:rPr>
            </w:pPr>
            <w:r w:rsidRPr="00DE6F84">
              <w:rPr>
                <w:sz w:val="20"/>
                <w:szCs w:val="20"/>
                <w:lang w:val="fr"/>
              </w:rPr>
              <w:t>Rapport annuel (SPAR)</w:t>
            </w:r>
          </w:p>
        </w:tc>
        <w:tc>
          <w:tcPr>
            <w:tcW w:w="1625"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 xml:space="preserve">7 (2017) </w:t>
            </w:r>
          </w:p>
          <w:p w:rsidR="00DE6F84" w:rsidRPr="00DE6F84" w:rsidRDefault="00DE6F84" w:rsidP="00DE6F84">
            <w:pPr>
              <w:spacing w:before="0" w:after="0" w:line="240" w:lineRule="auto"/>
              <w:jc w:val="center"/>
              <w:rPr>
                <w:sz w:val="20"/>
                <w:szCs w:val="20"/>
                <w:lang w:val="en-GB"/>
              </w:rPr>
            </w:pPr>
            <w:r w:rsidRPr="00DE6F84">
              <w:rPr>
                <w:sz w:val="20"/>
                <w:szCs w:val="20"/>
                <w:lang w:val="fr"/>
              </w:rPr>
              <w:t>12 (2018)</w:t>
            </w:r>
          </w:p>
          <w:p w:rsidR="00DE6F84" w:rsidRPr="00DE6F84" w:rsidRDefault="00DE6F84" w:rsidP="00DE6F84">
            <w:pPr>
              <w:spacing w:before="0" w:after="0" w:line="240" w:lineRule="auto"/>
              <w:jc w:val="center"/>
              <w:rPr>
                <w:i/>
                <w:sz w:val="20"/>
                <w:szCs w:val="20"/>
                <w:lang w:val="en-GB"/>
              </w:rPr>
            </w:pPr>
          </w:p>
        </w:tc>
        <w:tc>
          <w:tcPr>
            <w:tcW w:w="2694" w:type="dxa"/>
          </w:tcPr>
          <w:p w:rsidR="00DE6F84" w:rsidRPr="00DE6F84" w:rsidRDefault="00DE6F84" w:rsidP="00DE6F84">
            <w:pPr>
              <w:spacing w:before="0" w:after="0" w:line="240" w:lineRule="auto"/>
              <w:jc w:val="center"/>
              <w:rPr>
                <w:iCs/>
                <w:sz w:val="20"/>
                <w:szCs w:val="20"/>
                <w:lang w:val="fr-FR"/>
              </w:rPr>
            </w:pPr>
            <w:r w:rsidRPr="00DE6F84">
              <w:rPr>
                <w:sz w:val="20"/>
                <w:szCs w:val="20"/>
                <w:lang w:val="fr"/>
              </w:rPr>
              <w:t>Tous les États du Pacifique parties au RSI (2005) (hormis la PNG)</w:t>
            </w:r>
          </w:p>
        </w:tc>
        <w:tc>
          <w:tcPr>
            <w:tcW w:w="2471"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 rapport obligatoire par an</w:t>
            </w:r>
          </w:p>
        </w:tc>
      </w:tr>
      <w:tr w:rsidR="00DE6F84" w:rsidRPr="00DE6F84" w:rsidTr="0055668D">
        <w:tc>
          <w:tcPr>
            <w:tcW w:w="2452" w:type="dxa"/>
          </w:tcPr>
          <w:p w:rsidR="00DE6F84" w:rsidRPr="00DE6F84" w:rsidRDefault="00DE6F84" w:rsidP="00DE6F84">
            <w:pPr>
              <w:spacing w:before="0" w:after="0" w:line="240" w:lineRule="auto"/>
              <w:jc w:val="left"/>
              <w:rPr>
                <w:sz w:val="20"/>
                <w:szCs w:val="20"/>
                <w:lang w:val="fr-FR"/>
              </w:rPr>
            </w:pPr>
            <w:r w:rsidRPr="00DE6F84">
              <w:rPr>
                <w:sz w:val="20"/>
                <w:szCs w:val="20"/>
                <w:lang w:val="fr"/>
              </w:rPr>
              <w:t xml:space="preserve">Bilan post-intervention </w:t>
            </w:r>
          </w:p>
          <w:p w:rsidR="00DE6F84" w:rsidRPr="00DE6F84" w:rsidRDefault="00DE6F84" w:rsidP="00DE6F84">
            <w:pPr>
              <w:spacing w:before="0" w:after="0" w:line="240" w:lineRule="auto"/>
              <w:jc w:val="left"/>
              <w:rPr>
                <w:sz w:val="20"/>
                <w:szCs w:val="20"/>
                <w:lang w:val="fr-FR"/>
              </w:rPr>
            </w:pPr>
            <w:r w:rsidRPr="00DE6F84">
              <w:rPr>
                <w:sz w:val="20"/>
                <w:szCs w:val="20"/>
                <w:lang w:val="fr"/>
              </w:rPr>
              <w:t xml:space="preserve">(ou autres évaluations structurées) </w:t>
            </w:r>
          </w:p>
        </w:tc>
        <w:tc>
          <w:tcPr>
            <w:tcW w:w="1625"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3</w:t>
            </w:r>
          </w:p>
        </w:tc>
        <w:tc>
          <w:tcPr>
            <w:tcW w:w="2694"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FJI, KIR, TUV</w:t>
            </w:r>
          </w:p>
        </w:tc>
        <w:tc>
          <w:tcPr>
            <w:tcW w:w="2471"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 bilan recommandé par an</w:t>
            </w:r>
          </w:p>
        </w:tc>
      </w:tr>
      <w:tr w:rsidR="00DE6F84" w:rsidRPr="00DE6F84" w:rsidTr="0055668D">
        <w:tc>
          <w:tcPr>
            <w:tcW w:w="2452" w:type="dxa"/>
          </w:tcPr>
          <w:p w:rsidR="00DE6F84" w:rsidRPr="00DE6F84" w:rsidRDefault="00DE6F84" w:rsidP="00DE6F84">
            <w:pPr>
              <w:spacing w:before="0" w:after="0" w:line="240" w:lineRule="auto"/>
              <w:jc w:val="left"/>
              <w:rPr>
                <w:sz w:val="20"/>
                <w:szCs w:val="20"/>
                <w:lang w:val="en-GB"/>
              </w:rPr>
            </w:pPr>
            <w:r w:rsidRPr="00DE6F84">
              <w:rPr>
                <w:sz w:val="20"/>
                <w:szCs w:val="20"/>
                <w:lang w:val="fr"/>
              </w:rPr>
              <w:t xml:space="preserve">Exercice de simulation </w:t>
            </w:r>
          </w:p>
        </w:tc>
        <w:tc>
          <w:tcPr>
            <w:tcW w:w="1625"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14</w:t>
            </w:r>
          </w:p>
          <w:p w:rsidR="00DE6F84" w:rsidRPr="00DE6F84" w:rsidRDefault="00DE6F84" w:rsidP="00DE6F84">
            <w:pPr>
              <w:spacing w:before="0" w:after="0" w:line="240" w:lineRule="auto"/>
              <w:jc w:val="center"/>
              <w:rPr>
                <w:sz w:val="20"/>
                <w:szCs w:val="20"/>
                <w:lang w:val="en-GB"/>
              </w:rPr>
            </w:pPr>
          </w:p>
        </w:tc>
        <w:tc>
          <w:tcPr>
            <w:tcW w:w="2694" w:type="dxa"/>
          </w:tcPr>
          <w:p w:rsidR="00DE6F84" w:rsidRPr="00DE6F84" w:rsidRDefault="00DE6F84" w:rsidP="00DE6F84">
            <w:pPr>
              <w:spacing w:before="0" w:after="0" w:line="240" w:lineRule="auto"/>
              <w:jc w:val="center"/>
              <w:rPr>
                <w:sz w:val="20"/>
                <w:szCs w:val="20"/>
                <w:lang w:val="en-GB"/>
              </w:rPr>
            </w:pPr>
            <w:r w:rsidRPr="00DE6F84">
              <w:rPr>
                <w:sz w:val="20"/>
                <w:szCs w:val="20"/>
                <w:lang w:val="en-GB"/>
              </w:rPr>
              <w:t xml:space="preserve">COK (2), FJI, KIR (2), NIU, PLW, SLB, TON, TUV, VUT, WSM, Régional (2) </w:t>
            </w:r>
          </w:p>
        </w:tc>
        <w:tc>
          <w:tcPr>
            <w:tcW w:w="2471" w:type="dxa"/>
          </w:tcPr>
          <w:p w:rsidR="00DE6F84" w:rsidRPr="00DE6F84" w:rsidRDefault="00DE6F84" w:rsidP="00DE6F84">
            <w:pPr>
              <w:spacing w:before="0" w:after="0" w:line="240" w:lineRule="auto"/>
              <w:jc w:val="center"/>
              <w:rPr>
                <w:sz w:val="20"/>
                <w:szCs w:val="20"/>
                <w:lang w:val="en-GB"/>
              </w:rPr>
            </w:pPr>
            <w:r w:rsidRPr="00DE6F84">
              <w:rPr>
                <w:sz w:val="20"/>
                <w:szCs w:val="20"/>
                <w:lang w:val="fr"/>
              </w:rPr>
              <w:t>1 exercice recommandé par an</w:t>
            </w:r>
          </w:p>
        </w:tc>
      </w:tr>
    </w:tbl>
    <w:p w:rsidR="00AB260E" w:rsidRPr="000E42A0" w:rsidRDefault="00AB260E" w:rsidP="00AB260E">
      <w:pPr>
        <w:spacing w:after="40"/>
        <w:rPr>
          <w:bCs/>
          <w:sz w:val="18"/>
          <w:szCs w:val="18"/>
        </w:rPr>
      </w:pPr>
      <w:r w:rsidRPr="000E42A0">
        <w:rPr>
          <w:sz w:val="18"/>
          <w:szCs w:val="18"/>
        </w:rPr>
        <w:t xml:space="preserve">AUS, Australie ; COK, Îles Cook ; FJI, Fidji ; FSM, États fédérés de Micronésie ; KIR, Kiribati ; MHL, Îles Marshall ; NEZ, Nouvelle-Zélande ; NIU, Nioué ; NRU, Nauru ; PLW, Palaos ; PNG, Papouasie-Nouvelle-Guinée ; SLB, Îles Salomon ; SPAR, Rapport annuel d’autoévaluation des États parties ; TON, Tonga ; TUV, Tuvalu, VUT, Vanuatu ; WSM, Samoa. </w:t>
      </w:r>
    </w:p>
    <w:p w:rsidR="00AB260E" w:rsidRPr="000E42A0" w:rsidRDefault="00AB260E" w:rsidP="00AB260E">
      <w:pPr>
        <w:jc w:val="center"/>
        <w:rPr>
          <w:b/>
          <w:sz w:val="24"/>
        </w:rPr>
        <w:sectPr w:rsidR="00AB260E" w:rsidRPr="000E42A0" w:rsidSect="008C07F4">
          <w:headerReference w:type="default" r:id="rId29"/>
          <w:headerReference w:type="first" r:id="rId30"/>
          <w:pgSz w:w="11906" w:h="16838"/>
          <w:pgMar w:top="907" w:right="1077" w:bottom="907" w:left="1077" w:header="709" w:footer="709" w:gutter="0"/>
          <w:cols w:space="708"/>
          <w:titlePg/>
          <w:docGrid w:linePitch="360"/>
        </w:sectPr>
      </w:pPr>
    </w:p>
    <w:p w:rsidR="00C34221" w:rsidRPr="003B6BFE" w:rsidRDefault="008C07F4" w:rsidP="00D42972">
      <w:pPr>
        <w:pStyle w:val="Heading2"/>
        <w:rPr>
          <w:rFonts w:eastAsia="Times New Roman" w:cs="Times New Roman"/>
          <w:b w:val="0"/>
          <w:szCs w:val="20"/>
          <w:lang w:val="fr-FR"/>
        </w:rPr>
      </w:pPr>
      <w:r w:rsidRPr="008C07F4">
        <w:rPr>
          <w:rFonts w:cs="Times New Roman"/>
          <w:szCs w:val="20"/>
          <w:lang w:val="fr"/>
        </w:rPr>
        <w:t xml:space="preserve">APPENDICE </w:t>
      </w:r>
      <w:r w:rsidR="00A56F20" w:rsidRPr="003B6BFE">
        <w:rPr>
          <w:rFonts w:cs="Times New Roman"/>
          <w:szCs w:val="20"/>
          <w:lang w:val="fr"/>
        </w:rPr>
        <w:t xml:space="preserve">2. </w:t>
      </w:r>
      <w:hyperlink r:id="rId31" w:history="1">
        <w:r w:rsidR="00A56F20" w:rsidRPr="003B6BFE">
          <w:rPr>
            <w:rFonts w:cs="Times New Roman"/>
            <w:lang w:val="fr"/>
          </w:rPr>
          <w:t>Rapport annuel d’autoévaluation des États parties (SPAR)</w:t>
        </w:r>
      </w:hyperlink>
      <w:r w:rsidR="00A56F20" w:rsidRPr="003B6BFE">
        <w:rPr>
          <w:rFonts w:cs="Times New Roman"/>
          <w:lang w:val="fr"/>
        </w:rPr>
        <w:t xml:space="preserve"> au RSI (2005) : Aperçu  </w:t>
      </w:r>
    </w:p>
    <w:p w:rsidR="00757EBB" w:rsidRPr="000F1949" w:rsidRDefault="00A56F20" w:rsidP="00D639BD">
      <w:pPr>
        <w:pStyle w:val="BodyText1"/>
        <w:spacing w:line="240" w:lineRule="auto"/>
        <w:ind w:firstLine="0"/>
        <w:jc w:val="center"/>
        <w:rPr>
          <w:rFonts w:ascii="Calibri" w:hAnsi="Calibri" w:cs="Calibri"/>
        </w:rPr>
      </w:pPr>
      <w:r w:rsidRPr="003B6BFE">
        <w:rPr>
          <w:noProof/>
          <w:lang w:val="en-US"/>
        </w:rPr>
        <mc:AlternateContent>
          <mc:Choice Requires="wps">
            <w:drawing>
              <wp:anchor distT="0" distB="0" distL="114300" distR="114300" simplePos="0" relativeHeight="251658240" behindDoc="0" locked="0" layoutInCell="1" allowOverlap="1" wp14:anchorId="38C8F9E0" wp14:editId="1126E9F5">
                <wp:simplePos x="0" y="0"/>
                <wp:positionH relativeFrom="column">
                  <wp:posOffset>480060</wp:posOffset>
                </wp:positionH>
                <wp:positionV relativeFrom="paragraph">
                  <wp:posOffset>3668395</wp:posOffset>
                </wp:positionV>
                <wp:extent cx="8408670" cy="1863090"/>
                <wp:effectExtent l="0" t="0" r="0" b="3810"/>
                <wp:wrapNone/>
                <wp:docPr id="3" name="Text Box 3"/>
                <wp:cNvGraphicFramePr/>
                <a:graphic xmlns:a="http://schemas.openxmlformats.org/drawingml/2006/main">
                  <a:graphicData uri="http://schemas.microsoft.com/office/word/2010/wordprocessingShape">
                    <wps:wsp>
                      <wps:cNvSpPr txBox="1"/>
                      <wps:spPr>
                        <a:xfrm>
                          <a:off x="0" y="0"/>
                          <a:ext cx="8408670" cy="18630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260E" w:rsidRPr="002079DE" w:rsidRDefault="00AB260E" w:rsidP="00D42972">
                            <w:pPr>
                              <w:spacing w:line="276" w:lineRule="auto"/>
                              <w:rPr>
                                <w:rFonts w:asciiTheme="minorHAnsi" w:hAnsiTheme="minorHAnsi" w:cstheme="minorHAnsi"/>
                                <w:sz w:val="20"/>
                                <w:szCs w:val="20"/>
                                <w:lang w:val="fr-FR"/>
                              </w:rPr>
                            </w:pPr>
                            <w:r w:rsidRPr="00401577">
                              <w:rPr>
                                <w:rFonts w:asciiTheme="minorHAnsi" w:hAnsiTheme="minorHAnsi" w:cstheme="minorHAnsi"/>
                                <w:sz w:val="20"/>
                                <w:szCs w:val="20"/>
                                <w:lang w:val="fr"/>
                              </w:rPr>
                              <w:t>Bien que les notes des États du Pacifique parties au RSI (2005) reflètent la nature subjective de l’autoévaluation (ancienneté des participants aux ateliers multisectoriels, connaissance et compréhension des principales capacités requises au titre du RSI et interprétation des questions SPAR par les équipes nationales et leurs animateurs, et d’autres biais), les résultats sont conformes aux tendances observées dans les réponses au questionnaire de suivi du RSI de 2012-2017. Les capacités et les capacités d’intervention du point focal national RSI (PFN), la gestion des zoonoses, la sécurité chimique et radiologique, les dispositifs nationaux de gestion des urgences sanitaires, la fourniture de services de santé sûrs (y compris la prévention et la maîtrise des infections et la gestion de la résistance aux antimicrobiens) et les interventions efficaces de santé publique aux points d’entrée désignés pendant les situations d’urgence constituent des défis permanents dans le Pacifique. En 2018, l’OMS a collaboré avec les PFN pour rassembler les preuves documentaires à l’appui de leurs notes d’évaluation en vue de l’évaluation extérieure conjointe (JEE), ce qui n’était pas systématique par le passé.</w:t>
                            </w:r>
                            <w:r>
                              <w:rPr>
                                <w:rFonts w:asciiTheme="minorHAnsi" w:hAnsiTheme="minorHAnsi" w:cstheme="minorHAnsi"/>
                                <w:sz w:val="20"/>
                                <w:szCs w:val="20"/>
                                <w:lang w:val="fr"/>
                              </w:rPr>
                              <w:t xml:space="preserve">  </w:t>
                            </w:r>
                          </w:p>
                          <w:p w:rsidR="00AB260E" w:rsidRPr="002079DE" w:rsidRDefault="00AB260E" w:rsidP="00DA45CC">
                            <w:pPr>
                              <w:rPr>
                                <w:rFonts w:asciiTheme="minorHAnsi" w:hAnsiTheme="minorHAnsi" w:cstheme="minorHAnsi"/>
                                <w:sz w:val="20"/>
                                <w:szCs w:val="20"/>
                                <w:lang w:val="fr-FR"/>
                              </w:rPr>
                            </w:pPr>
                          </w:p>
                          <w:p w:rsidR="00AB260E" w:rsidRPr="002079DE" w:rsidRDefault="00AB260E" w:rsidP="00DA45CC">
                            <w:pPr>
                              <w:rPr>
                                <w:rFonts w:asciiTheme="minorHAnsi" w:hAnsiTheme="minorHAnsi" w:cstheme="minorHAnsi"/>
                                <w:sz w:val="16"/>
                                <w:szCs w:val="20"/>
                                <w:lang w:val="fr-FR"/>
                              </w:rPr>
                            </w:pPr>
                            <w:r>
                              <w:rPr>
                                <w:rFonts w:asciiTheme="minorHAnsi" w:hAnsiTheme="minorHAnsi" w:cstheme="minorHAnsi"/>
                                <w:sz w:val="20"/>
                                <w:szCs w:val="20"/>
                                <w:lang w:val="fr"/>
                              </w:rPr>
                              <w:t xml:space="preserve">Une version plus détaillée de ces données est disponible sur le portail de l’OMS relatif au </w:t>
                            </w:r>
                            <w:hyperlink r:id="rId32" w:history="1">
                              <w:r>
                                <w:rPr>
                                  <w:rStyle w:val="Hyperlink"/>
                                  <w:rFonts w:ascii="Calibri" w:hAnsi="Calibri" w:cs="Calibri"/>
                                  <w:sz w:val="20"/>
                                  <w:lang w:val="fr"/>
                                </w:rPr>
                                <w:t>Partenariat stratégique pour le Règlement sanitaire international (2005) et la sécurité sanitaire</w:t>
                              </w:r>
                            </w:hyperlink>
                            <w:r>
                              <w:rPr>
                                <w:lang w:val="fr"/>
                              </w:rPr>
                              <w:t>.</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7.8pt;margin-top:288.85pt;width:662.1pt;height:14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" fillcolor="white [3201]" stroked="f" strokeweight=".5pt">
                <v:textbox>
                  <w:txbxContent>
                    <w:p w:rsidR="00AB260E" w:rsidRPr="002079DE" w:rsidRDefault="00AB260E" w:rsidP="00D42972">
                      <w:pPr>
                        <w:spacing w:line="276" w:lineRule="auto"/>
                        <w:rPr>
                          <w:rFonts w:asciiTheme="minorHAnsi" w:hAnsiTheme="minorHAnsi" w:cstheme="minorHAnsi"/>
                          <w:sz w:val="20"/>
                          <w:szCs w:val="20"/>
                          <w:lang w:val="fr-FR"/>
                        </w:rPr>
                      </w:pPr>
                      <w:r w:rsidRPr="00401577">
                        <w:rPr>
                          <w:rFonts w:asciiTheme="minorHAnsi" w:hAnsiTheme="minorHAnsi" w:cstheme="minorHAnsi"/>
                          <w:sz w:val="20"/>
                          <w:szCs w:val="20"/>
                          <w:lang w:val="fr"/>
                        </w:rPr>
                        <w:t>Bien que les notes des États du Pacifique parties au RSI (2005) reflètent la nature subjective de l’autoévaluation (ancienneté des participants aux ateliers multisectoriels, connaissance et compréhension des principales capacités requises au titre du RSI et interprétation des questions SPAR par les équipes nationales et leurs animateurs, et d’autres biais), les résultats sont conformes aux tendances observées dans les réponses au questionnaire de suivi du RSI de 2012-2017. Les capacités et les capacités d’intervention du point focal national RSI (PFN), la gestion des zoonoses, la sécurité chimique et radiologique, les dispositifs nationaux de gestion des urgences sanitaires, la fourniture de services de santé sûrs (y compris la prévention et la maîtrise des infections et la gestion de la résistance aux antimicrobiens) et les interventions efficaces de santé publique aux points d’entrée désignés pendant les situations d’urgence constituent des défis permanents dans le Pacifique. En 2018, l’OMS a collaboré avec les PFN pour rassembler les preuves documentaires à l’appui de leurs notes d’évaluation en vue de l’évaluation extérieure conjointe (JEE), ce qui n’était pas systématique par le passé.</w:t>
                      </w:r>
                      <w:r>
                        <w:rPr>
                          <w:rFonts w:asciiTheme="minorHAnsi" w:hAnsiTheme="minorHAnsi" w:cstheme="minorHAnsi"/>
                          <w:sz w:val="20"/>
                          <w:szCs w:val="20"/>
                          <w:lang w:val="fr"/>
                        </w:rPr>
                        <w:t xml:space="preserve">  </w:t>
                      </w:r>
                    </w:p>
                    <w:p w:rsidR="00AB260E" w:rsidRPr="002079DE" w:rsidRDefault="00AB260E" w:rsidP="00DA45CC">
                      <w:pPr>
                        <w:rPr>
                          <w:rFonts w:asciiTheme="minorHAnsi" w:hAnsiTheme="minorHAnsi" w:cstheme="minorHAnsi"/>
                          <w:sz w:val="20"/>
                          <w:szCs w:val="20"/>
                          <w:lang w:val="fr-FR"/>
                        </w:rPr>
                      </w:pPr>
                    </w:p>
                    <w:p w:rsidR="00AB260E" w:rsidRPr="002079DE" w:rsidRDefault="00AB260E" w:rsidP="00DA45CC">
                      <w:pPr>
                        <w:rPr>
                          <w:rFonts w:asciiTheme="minorHAnsi" w:hAnsiTheme="minorHAnsi" w:cstheme="minorHAnsi"/>
                          <w:sz w:val="16"/>
                          <w:szCs w:val="20"/>
                          <w:lang w:val="fr-FR"/>
                        </w:rPr>
                      </w:pPr>
                      <w:r>
                        <w:rPr>
                          <w:rFonts w:asciiTheme="minorHAnsi" w:hAnsiTheme="minorHAnsi" w:cstheme="minorHAnsi"/>
                          <w:sz w:val="20"/>
                          <w:szCs w:val="20"/>
                          <w:lang w:val="fr"/>
                        </w:rPr>
                        <w:t xml:space="preserve">Une version plus détaillée de ces données est disponible sur le portail de l’OMS relatif au </w:t>
                      </w:r>
                      <w:hyperlink r:id="rId33" w:history="1">
                        <w:r>
                          <w:rPr>
                            <w:rStyle w:val="Hyperlink"/>
                            <w:rFonts w:ascii="Calibri" w:hAnsi="Calibri" w:cs="Calibri"/>
                            <w:sz w:val="20"/>
                            <w:lang w:val="fr"/>
                          </w:rPr>
                          <w:t>Partenariat stratégique pour le Règlement sanitaire international (2005) et la sécurité sanitaire</w:t>
                        </w:r>
                      </w:hyperlink>
                      <w:r>
                        <w:rPr>
                          <w:lang w:val="fr"/>
                        </w:rPr>
                        <w:t>.</w:t>
                      </w:r>
                    </w:p>
                  </w:txbxContent>
                </v:textbox>
              </v:shape>
            </w:pict>
          </mc:Fallback>
        </mc:AlternateContent>
      </w:r>
      <w:r w:rsidRPr="003B6BFE">
        <w:rPr>
          <w:noProof/>
          <w:lang w:val="en-US"/>
        </w:rPr>
        <w:drawing>
          <wp:inline distT="0" distB="0" distL="0" distR="0" wp14:anchorId="1CEA1ED8" wp14:editId="5CADF8D8">
            <wp:extent cx="8407689" cy="3665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876158" name="1D026F3.tmp"/>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408418" cy="3665538"/>
                    </a:xfrm>
                    <a:prstGeom prst="rect">
                      <a:avLst/>
                    </a:prstGeom>
                  </pic:spPr>
                </pic:pic>
              </a:graphicData>
            </a:graphic>
          </wp:inline>
        </w:drawing>
      </w:r>
    </w:p>
    <w:sectPr w:rsidR="00757EBB" w:rsidRPr="000F1949" w:rsidSect="00D639BD">
      <w:headerReference w:type="first" r:id="rId35"/>
      <w:pgSz w:w="16839" w:h="11907" w:orient="landscape" w:code="9"/>
      <w:pgMar w:top="1440" w:right="720" w:bottom="709"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commentEx w15:paraId="66BF7070" w15:done="0"/>
  <w15:commentEx w15:paraId="4D7B88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60E" w:rsidRDefault="00AB260E">
      <w:pPr>
        <w:spacing w:before="0" w:after="0" w:line="240" w:lineRule="auto"/>
      </w:pPr>
      <w:r>
        <w:separator/>
      </w:r>
    </w:p>
  </w:endnote>
  <w:endnote w:type="continuationSeparator" w:id="0">
    <w:p w:rsidR="00AB260E" w:rsidRDefault="00AB260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60E" w:rsidRDefault="00AB260E" w:rsidP="00DC6979">
      <w:pPr>
        <w:ind w:firstLine="770"/>
      </w:pPr>
      <w:r>
        <w:separator/>
      </w:r>
    </w:p>
  </w:footnote>
  <w:footnote w:type="continuationSeparator" w:id="0">
    <w:p w:rsidR="00AB260E" w:rsidRDefault="00AB260E" w:rsidP="00DC6979">
      <w:pPr>
        <w:ind w:firstLine="770"/>
      </w:pPr>
      <w:r>
        <w:continuationSeparator/>
      </w:r>
    </w:p>
  </w:footnote>
  <w:footnote w:id="1">
    <w:p w:rsidR="00AB260E" w:rsidRPr="003B6BFE" w:rsidRDefault="00AB260E" w:rsidP="00A235FD">
      <w:pPr>
        <w:pStyle w:val="FootnoteText"/>
        <w:spacing w:before="0" w:after="0" w:line="240" w:lineRule="auto"/>
        <w:rPr>
          <w:rFonts w:cstheme="minorHAnsi"/>
          <w:sz w:val="18"/>
          <w:szCs w:val="18"/>
          <w:lang w:val="fr-FR"/>
        </w:rPr>
      </w:pPr>
      <w:r w:rsidRPr="003B6BFE">
        <w:rPr>
          <w:rStyle w:val="FootnoteReference"/>
          <w:rFonts w:cstheme="minorHAnsi"/>
          <w:sz w:val="18"/>
          <w:szCs w:val="18"/>
          <w:lang w:val="fr"/>
        </w:rPr>
        <w:footnoteRef/>
      </w:r>
      <w:r w:rsidRPr="003B6BFE">
        <w:rPr>
          <w:rFonts w:cstheme="minorHAnsi"/>
          <w:sz w:val="18"/>
          <w:szCs w:val="18"/>
          <w:lang w:val="fr"/>
        </w:rPr>
        <w:t xml:space="preserve"> Hors Australie et Nouvelle-Zélande. Les maladies infectieuses comprenaient la méningococcie invasive, l’hépatite A, la fièvre typhoïde, la dengue, la leptospirose, la grippe, le syndrome de type grippal, les oreillons, le poliovirus dérivé de la souche vaccinale, la coqueluche et la diarrhée. Cette liste n’est pas exhaustive.</w:t>
      </w:r>
    </w:p>
  </w:footnote>
  <w:footnote w:id="2">
    <w:p w:rsidR="00AB260E" w:rsidRPr="002079DE" w:rsidRDefault="00AB260E" w:rsidP="00A235FD">
      <w:pPr>
        <w:pStyle w:val="FootnoteText"/>
        <w:spacing w:before="0" w:after="0" w:line="240" w:lineRule="auto"/>
        <w:rPr>
          <w:rFonts w:ascii="Times New Roman" w:hAnsi="Times New Roman" w:cs="Times New Roman"/>
          <w:lang w:val="fr-FR"/>
        </w:rPr>
      </w:pPr>
      <w:r w:rsidRPr="003B6BFE">
        <w:rPr>
          <w:rStyle w:val="FootnoteReference"/>
          <w:rFonts w:cstheme="minorHAnsi"/>
          <w:sz w:val="18"/>
          <w:szCs w:val="18"/>
          <w:lang w:val="fr"/>
        </w:rPr>
        <w:footnoteRef/>
      </w:r>
      <w:r w:rsidRPr="003B6BFE">
        <w:rPr>
          <w:sz w:val="18"/>
          <w:szCs w:val="18"/>
          <w:lang w:val="fr"/>
        </w:rPr>
        <w:t xml:space="preserve"> Hors Australie, Nouvelle-Zélande et Papouasie-Nouvelle-Guinée.</w:t>
      </w:r>
      <w:r>
        <w:rPr>
          <w:rFonts w:ascii="Times New Roman" w:hAnsi="Times New Roman"/>
          <w:sz w:val="18"/>
          <w:szCs w:val="18"/>
          <w:lang w:val="fr"/>
        </w:rPr>
        <w:t xml:space="preserve"> </w:t>
      </w:r>
    </w:p>
  </w:footnote>
  <w:footnote w:id="3">
    <w:p w:rsidR="00AB260E" w:rsidRPr="004F77F4" w:rsidRDefault="00AB260E" w:rsidP="00FC592A">
      <w:pPr>
        <w:pStyle w:val="FootnoteText"/>
        <w:spacing w:before="0" w:after="0" w:line="240" w:lineRule="auto"/>
        <w:ind w:left="288" w:hanging="288"/>
        <w:jc w:val="left"/>
        <w:rPr>
          <w:rFonts w:ascii="Calibri" w:hAnsi="Calibri" w:cs="Calibri"/>
          <w:sz w:val="18"/>
          <w:szCs w:val="18"/>
        </w:rPr>
      </w:pPr>
      <w:r w:rsidRPr="004F77F4">
        <w:rPr>
          <w:rStyle w:val="FootnoteReference"/>
          <w:rFonts w:ascii="Calibri" w:hAnsi="Calibri" w:cs="Calibri"/>
          <w:sz w:val="18"/>
          <w:szCs w:val="18"/>
          <w:lang w:val="fr"/>
        </w:rPr>
        <w:footnoteRef/>
      </w:r>
      <w:r w:rsidRPr="004F77F4">
        <w:rPr>
          <w:rFonts w:ascii="Calibri" w:hAnsi="Calibri" w:cs="Calibri"/>
          <w:sz w:val="18"/>
          <w:szCs w:val="18"/>
          <w:lang w:val="en-US"/>
        </w:rPr>
        <w:t xml:space="preserve"> WHO Western Pacific Region: JEE mission reports. Geneva: World Health Organization (</w:t>
      </w:r>
      <w:r w:rsidRPr="004F77F4">
        <w:rPr>
          <w:rStyle w:val="Hyperlink"/>
          <w:rFonts w:ascii="Calibri" w:hAnsi="Calibri" w:cs="Calibri"/>
          <w:sz w:val="18"/>
          <w:szCs w:val="18"/>
          <w:lang w:val="en-US"/>
        </w:rPr>
        <w:t>https://www.who.int/ihr/procedures/mission-reports-western-pacific/en/</w:t>
      </w:r>
      <w:r w:rsidRPr="004F77F4">
        <w:rPr>
          <w:rFonts w:ascii="Calibri" w:hAnsi="Calibri" w:cs="Calibri"/>
          <w:sz w:val="18"/>
          <w:szCs w:val="18"/>
          <w:lang w:val="en-US"/>
        </w:rPr>
        <w:t>).</w:t>
      </w:r>
    </w:p>
  </w:footnote>
  <w:footnote w:id="4">
    <w:p w:rsidR="00AB260E" w:rsidRPr="002079DE" w:rsidRDefault="00AB260E" w:rsidP="00D715F4">
      <w:pPr>
        <w:pStyle w:val="FootnoteText"/>
        <w:spacing w:before="0" w:after="120" w:line="240" w:lineRule="auto"/>
        <w:ind w:left="288" w:hanging="288"/>
        <w:jc w:val="left"/>
        <w:rPr>
          <w:rFonts w:cstheme="minorHAnsi"/>
          <w:lang w:val="fr-FR"/>
        </w:rPr>
      </w:pPr>
      <w:r w:rsidRPr="004F77F4">
        <w:rPr>
          <w:rStyle w:val="FootnoteReference"/>
          <w:rFonts w:cstheme="minorHAnsi"/>
          <w:sz w:val="18"/>
          <w:szCs w:val="18"/>
          <w:lang w:val="fr"/>
        </w:rPr>
        <w:footnoteRef/>
      </w:r>
      <w:r w:rsidRPr="004F77F4">
        <w:rPr>
          <w:rFonts w:cstheme="minorHAnsi"/>
          <w:sz w:val="18"/>
          <w:szCs w:val="18"/>
          <w:lang w:val="fr"/>
        </w:rPr>
        <w:t xml:space="preserve"> Hors États fédérés de Micronésie, qui ont achevé leur évaluation extérieure conjointe en août 2018.</w:t>
      </w:r>
    </w:p>
  </w:footnote>
  <w:footnote w:id="5">
    <w:p w:rsidR="00AB260E" w:rsidRPr="002079DE" w:rsidRDefault="00AB260E" w:rsidP="00670A9D">
      <w:pPr>
        <w:pStyle w:val="FootnoteText"/>
        <w:spacing w:before="0" w:after="120" w:line="240" w:lineRule="auto"/>
        <w:ind w:left="288" w:hanging="288"/>
        <w:rPr>
          <w:rFonts w:cstheme="minorHAnsi"/>
          <w:sz w:val="18"/>
          <w:szCs w:val="18"/>
          <w:lang w:val="fr-FR"/>
        </w:rPr>
      </w:pPr>
      <w:r w:rsidRPr="005934AE">
        <w:rPr>
          <w:rStyle w:val="FootnoteReference"/>
          <w:rFonts w:cstheme="minorHAnsi"/>
          <w:sz w:val="18"/>
          <w:szCs w:val="18"/>
          <w:lang w:val="fr"/>
        </w:rPr>
        <w:footnoteRef/>
      </w:r>
      <w:r w:rsidRPr="005934AE">
        <w:rPr>
          <w:rFonts w:cstheme="minorHAnsi"/>
          <w:sz w:val="18"/>
          <w:szCs w:val="18"/>
          <w:lang w:val="fr"/>
        </w:rPr>
        <w:t xml:space="preserve"> Tous les partenaires n’ont pas suivi toutes les formations.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7F4" w:rsidRPr="001D04A1" w:rsidRDefault="008C07F4" w:rsidP="008C07F4">
    <w:pPr>
      <w:pStyle w:val="Header"/>
      <w:jc w:val="right"/>
      <w:rPr>
        <w:rFonts w:asciiTheme="majorBidi" w:hAnsiTheme="majorBidi" w:cstheme="majorBidi"/>
        <w:b/>
        <w:bCs/>
        <w:noProof/>
      </w:rPr>
    </w:pPr>
    <w:r w:rsidRPr="003F3553">
      <w:rPr>
        <w:rFonts w:asciiTheme="majorBidi" w:hAnsiTheme="majorBidi" w:cstheme="majorBidi"/>
        <w:b/>
        <w:bCs/>
      </w:rPr>
      <w:t>PIC13/S</w:t>
    </w:r>
    <w:r w:rsidR="009F7585">
      <w:rPr>
        <w:rFonts w:asciiTheme="majorBidi" w:hAnsiTheme="majorBidi" w:cstheme="majorBidi"/>
        <w:b/>
        <w:bCs/>
      </w:rPr>
      <w:t>3</w:t>
    </w:r>
    <w:r w:rsidRPr="003F3553">
      <w:rPr>
        <w:rFonts w:asciiTheme="majorBidi" w:hAnsiTheme="majorBidi" w:cstheme="majorBidi"/>
        <w:b/>
        <w:bCs/>
      </w:rPr>
      <w:t>/1</w:t>
    </w:r>
    <w:r w:rsidR="009F7585">
      <w:rPr>
        <w:rFonts w:asciiTheme="majorBidi" w:hAnsiTheme="majorBidi" w:cstheme="majorBidi"/>
        <w:b/>
        <w:bCs/>
      </w:rPr>
      <w:t xml:space="preserve"> </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9F7585">
      <w:rPr>
        <w:rFonts w:asciiTheme="majorBidi" w:hAnsiTheme="majorBidi" w:cstheme="majorBidi"/>
        <w:b/>
        <w:bCs/>
        <w:noProof/>
      </w:rPr>
      <w:t>16</w:t>
    </w:r>
    <w:r w:rsidRPr="007608DB">
      <w:rPr>
        <w:rFonts w:asciiTheme="majorBidi" w:hAnsiTheme="majorBidi" w:cstheme="majorBidi"/>
        <w:b/>
        <w:bCs/>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7F4" w:rsidRDefault="008C07F4">
    <w:pPr>
      <w:pStyle w:val="Header"/>
    </w:pPr>
    <w:r>
      <w:rPr>
        <w:noProof/>
        <w:lang w:val="en-US" w:eastAsia="en-US"/>
      </w:rPr>
      <w:drawing>
        <wp:inline distT="0" distB="0" distL="0" distR="0" wp14:anchorId="3E725535" wp14:editId="433B9A8F">
          <wp:extent cx="5669280" cy="1431573"/>
          <wp:effectExtent l="0" t="0" r="7620" b="0"/>
          <wp:docPr id="5" name="Picture 5"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60E" w:rsidRPr="00E0054D" w:rsidRDefault="00AB260E" w:rsidP="00E00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4DB6"/>
    <w:multiLevelType w:val="hybridMultilevel"/>
    <w:tmpl w:val="28580C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553983"/>
    <w:multiLevelType w:val="hybridMultilevel"/>
    <w:tmpl w:val="192ACA70"/>
    <w:lvl w:ilvl="0" w:tplc="4C20B682">
      <w:start w:val="1"/>
      <w:numFmt w:val="decimal"/>
      <w:lvlText w:val="%1."/>
      <w:lvlJc w:val="left"/>
      <w:pPr>
        <w:ind w:left="936" w:hanging="360"/>
      </w:pPr>
    </w:lvl>
    <w:lvl w:ilvl="1" w:tplc="34CAAA24" w:tentative="1">
      <w:start w:val="1"/>
      <w:numFmt w:val="lowerLetter"/>
      <w:lvlText w:val="%2."/>
      <w:lvlJc w:val="left"/>
      <w:pPr>
        <w:ind w:left="1656" w:hanging="360"/>
      </w:pPr>
    </w:lvl>
    <w:lvl w:ilvl="2" w:tplc="D4A2F8F6" w:tentative="1">
      <w:start w:val="1"/>
      <w:numFmt w:val="lowerRoman"/>
      <w:lvlText w:val="%3."/>
      <w:lvlJc w:val="right"/>
      <w:pPr>
        <w:ind w:left="2376" w:hanging="180"/>
      </w:pPr>
    </w:lvl>
    <w:lvl w:ilvl="3" w:tplc="90B63194" w:tentative="1">
      <w:start w:val="1"/>
      <w:numFmt w:val="decimal"/>
      <w:lvlText w:val="%4."/>
      <w:lvlJc w:val="left"/>
      <w:pPr>
        <w:ind w:left="3096" w:hanging="360"/>
      </w:pPr>
    </w:lvl>
    <w:lvl w:ilvl="4" w:tplc="6D0A974E" w:tentative="1">
      <w:start w:val="1"/>
      <w:numFmt w:val="lowerLetter"/>
      <w:lvlText w:val="%5."/>
      <w:lvlJc w:val="left"/>
      <w:pPr>
        <w:ind w:left="3816" w:hanging="360"/>
      </w:pPr>
    </w:lvl>
    <w:lvl w:ilvl="5" w:tplc="FA285870" w:tentative="1">
      <w:start w:val="1"/>
      <w:numFmt w:val="lowerRoman"/>
      <w:lvlText w:val="%6."/>
      <w:lvlJc w:val="right"/>
      <w:pPr>
        <w:ind w:left="4536" w:hanging="180"/>
      </w:pPr>
    </w:lvl>
    <w:lvl w:ilvl="6" w:tplc="50AA084E" w:tentative="1">
      <w:start w:val="1"/>
      <w:numFmt w:val="decimal"/>
      <w:lvlText w:val="%7."/>
      <w:lvlJc w:val="left"/>
      <w:pPr>
        <w:ind w:left="5256" w:hanging="360"/>
      </w:pPr>
    </w:lvl>
    <w:lvl w:ilvl="7" w:tplc="122EBC8A" w:tentative="1">
      <w:start w:val="1"/>
      <w:numFmt w:val="lowerLetter"/>
      <w:lvlText w:val="%8."/>
      <w:lvlJc w:val="left"/>
      <w:pPr>
        <w:ind w:left="5976" w:hanging="360"/>
      </w:pPr>
    </w:lvl>
    <w:lvl w:ilvl="8" w:tplc="A148E496" w:tentative="1">
      <w:start w:val="1"/>
      <w:numFmt w:val="lowerRoman"/>
      <w:lvlText w:val="%9."/>
      <w:lvlJc w:val="right"/>
      <w:pPr>
        <w:ind w:left="6696" w:hanging="180"/>
      </w:pPr>
    </w:lvl>
  </w:abstractNum>
  <w:abstractNum w:abstractNumId="2">
    <w:nsid w:val="118B37C2"/>
    <w:multiLevelType w:val="hybridMultilevel"/>
    <w:tmpl w:val="ADA07C12"/>
    <w:lvl w:ilvl="0" w:tplc="A726EF48">
      <w:start w:val="1"/>
      <w:numFmt w:val="bullet"/>
      <w:lvlText w:val=""/>
      <w:lvlJc w:val="left"/>
      <w:pPr>
        <w:ind w:left="1080" w:hanging="360"/>
      </w:pPr>
      <w:rPr>
        <w:rFonts w:ascii="Symbol" w:hAnsi="Symbol" w:hint="default"/>
      </w:rPr>
    </w:lvl>
    <w:lvl w:ilvl="1" w:tplc="3A7296E4" w:tentative="1">
      <w:start w:val="1"/>
      <w:numFmt w:val="bullet"/>
      <w:lvlText w:val="o"/>
      <w:lvlJc w:val="left"/>
      <w:pPr>
        <w:ind w:left="1800" w:hanging="360"/>
      </w:pPr>
      <w:rPr>
        <w:rFonts w:ascii="Courier New" w:hAnsi="Courier New" w:cs="Courier New" w:hint="default"/>
      </w:rPr>
    </w:lvl>
    <w:lvl w:ilvl="2" w:tplc="35566A6A" w:tentative="1">
      <w:start w:val="1"/>
      <w:numFmt w:val="bullet"/>
      <w:lvlText w:val=""/>
      <w:lvlJc w:val="left"/>
      <w:pPr>
        <w:ind w:left="2520" w:hanging="360"/>
      </w:pPr>
      <w:rPr>
        <w:rFonts w:ascii="Wingdings" w:hAnsi="Wingdings" w:hint="default"/>
      </w:rPr>
    </w:lvl>
    <w:lvl w:ilvl="3" w:tplc="CA06D854" w:tentative="1">
      <w:start w:val="1"/>
      <w:numFmt w:val="bullet"/>
      <w:lvlText w:val=""/>
      <w:lvlJc w:val="left"/>
      <w:pPr>
        <w:ind w:left="3240" w:hanging="360"/>
      </w:pPr>
      <w:rPr>
        <w:rFonts w:ascii="Symbol" w:hAnsi="Symbol" w:hint="default"/>
      </w:rPr>
    </w:lvl>
    <w:lvl w:ilvl="4" w:tplc="9C923AFC" w:tentative="1">
      <w:start w:val="1"/>
      <w:numFmt w:val="bullet"/>
      <w:lvlText w:val="o"/>
      <w:lvlJc w:val="left"/>
      <w:pPr>
        <w:ind w:left="3960" w:hanging="360"/>
      </w:pPr>
      <w:rPr>
        <w:rFonts w:ascii="Courier New" w:hAnsi="Courier New" w:cs="Courier New" w:hint="default"/>
      </w:rPr>
    </w:lvl>
    <w:lvl w:ilvl="5" w:tplc="5B2C07B8" w:tentative="1">
      <w:start w:val="1"/>
      <w:numFmt w:val="bullet"/>
      <w:lvlText w:val=""/>
      <w:lvlJc w:val="left"/>
      <w:pPr>
        <w:ind w:left="4680" w:hanging="360"/>
      </w:pPr>
      <w:rPr>
        <w:rFonts w:ascii="Wingdings" w:hAnsi="Wingdings" w:hint="default"/>
      </w:rPr>
    </w:lvl>
    <w:lvl w:ilvl="6" w:tplc="96E07390" w:tentative="1">
      <w:start w:val="1"/>
      <w:numFmt w:val="bullet"/>
      <w:lvlText w:val=""/>
      <w:lvlJc w:val="left"/>
      <w:pPr>
        <w:ind w:left="5400" w:hanging="360"/>
      </w:pPr>
      <w:rPr>
        <w:rFonts w:ascii="Symbol" w:hAnsi="Symbol" w:hint="default"/>
      </w:rPr>
    </w:lvl>
    <w:lvl w:ilvl="7" w:tplc="D28E3AD8" w:tentative="1">
      <w:start w:val="1"/>
      <w:numFmt w:val="bullet"/>
      <w:lvlText w:val="o"/>
      <w:lvlJc w:val="left"/>
      <w:pPr>
        <w:ind w:left="6120" w:hanging="360"/>
      </w:pPr>
      <w:rPr>
        <w:rFonts w:ascii="Courier New" w:hAnsi="Courier New" w:cs="Courier New" w:hint="default"/>
      </w:rPr>
    </w:lvl>
    <w:lvl w:ilvl="8" w:tplc="BD74C1E4" w:tentative="1">
      <w:start w:val="1"/>
      <w:numFmt w:val="bullet"/>
      <w:lvlText w:val=""/>
      <w:lvlJc w:val="left"/>
      <w:pPr>
        <w:ind w:left="6840" w:hanging="360"/>
      </w:pPr>
      <w:rPr>
        <w:rFonts w:ascii="Wingdings" w:hAnsi="Wingdings" w:hint="default"/>
      </w:rPr>
    </w:lvl>
  </w:abstractNum>
  <w:abstractNum w:abstractNumId="3">
    <w:nsid w:val="11DD7F39"/>
    <w:multiLevelType w:val="hybridMultilevel"/>
    <w:tmpl w:val="EF704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21845E3"/>
    <w:multiLevelType w:val="hybridMultilevel"/>
    <w:tmpl w:val="A89292FE"/>
    <w:lvl w:ilvl="0" w:tplc="65C6C048">
      <w:start w:val="1"/>
      <w:numFmt w:val="lowerRoman"/>
      <w:lvlText w:val="%1."/>
      <w:lvlJc w:val="right"/>
      <w:pPr>
        <w:ind w:left="360" w:hanging="360"/>
      </w:pPr>
    </w:lvl>
    <w:lvl w:ilvl="1" w:tplc="24EA954E" w:tentative="1">
      <w:start w:val="1"/>
      <w:numFmt w:val="lowerLetter"/>
      <w:lvlText w:val="%2."/>
      <w:lvlJc w:val="left"/>
      <w:pPr>
        <w:ind w:left="1080" w:hanging="360"/>
      </w:pPr>
    </w:lvl>
    <w:lvl w:ilvl="2" w:tplc="5A4A46B4" w:tentative="1">
      <w:start w:val="1"/>
      <w:numFmt w:val="lowerRoman"/>
      <w:lvlText w:val="%3."/>
      <w:lvlJc w:val="right"/>
      <w:pPr>
        <w:ind w:left="1800" w:hanging="180"/>
      </w:pPr>
    </w:lvl>
    <w:lvl w:ilvl="3" w:tplc="EF82D17C" w:tentative="1">
      <w:start w:val="1"/>
      <w:numFmt w:val="decimal"/>
      <w:lvlText w:val="%4."/>
      <w:lvlJc w:val="left"/>
      <w:pPr>
        <w:ind w:left="2520" w:hanging="360"/>
      </w:pPr>
    </w:lvl>
    <w:lvl w:ilvl="4" w:tplc="21E25882" w:tentative="1">
      <w:start w:val="1"/>
      <w:numFmt w:val="lowerLetter"/>
      <w:lvlText w:val="%5."/>
      <w:lvlJc w:val="left"/>
      <w:pPr>
        <w:ind w:left="3240" w:hanging="360"/>
      </w:pPr>
    </w:lvl>
    <w:lvl w:ilvl="5" w:tplc="00A40BFE" w:tentative="1">
      <w:start w:val="1"/>
      <w:numFmt w:val="lowerRoman"/>
      <w:lvlText w:val="%6."/>
      <w:lvlJc w:val="right"/>
      <w:pPr>
        <w:ind w:left="3960" w:hanging="180"/>
      </w:pPr>
    </w:lvl>
    <w:lvl w:ilvl="6" w:tplc="8A3804A0" w:tentative="1">
      <w:start w:val="1"/>
      <w:numFmt w:val="decimal"/>
      <w:lvlText w:val="%7."/>
      <w:lvlJc w:val="left"/>
      <w:pPr>
        <w:ind w:left="4680" w:hanging="360"/>
      </w:pPr>
    </w:lvl>
    <w:lvl w:ilvl="7" w:tplc="E37A4660" w:tentative="1">
      <w:start w:val="1"/>
      <w:numFmt w:val="lowerLetter"/>
      <w:lvlText w:val="%8."/>
      <w:lvlJc w:val="left"/>
      <w:pPr>
        <w:ind w:left="5400" w:hanging="360"/>
      </w:pPr>
    </w:lvl>
    <w:lvl w:ilvl="8" w:tplc="6788508A" w:tentative="1">
      <w:start w:val="1"/>
      <w:numFmt w:val="lowerRoman"/>
      <w:lvlText w:val="%9."/>
      <w:lvlJc w:val="right"/>
      <w:pPr>
        <w:ind w:left="6120" w:hanging="180"/>
      </w:pPr>
    </w:lvl>
  </w:abstractNum>
  <w:abstractNum w:abstractNumId="5">
    <w:nsid w:val="13A97327"/>
    <w:multiLevelType w:val="multilevel"/>
    <w:tmpl w:val="E962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255B81"/>
    <w:multiLevelType w:val="hybridMultilevel"/>
    <w:tmpl w:val="FF7E4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EAF6728"/>
    <w:multiLevelType w:val="hybridMultilevel"/>
    <w:tmpl w:val="D2104E12"/>
    <w:lvl w:ilvl="0" w:tplc="B686C6FA">
      <w:start w:val="1"/>
      <w:numFmt w:val="decimal"/>
      <w:lvlText w:val="%1."/>
      <w:lvlJc w:val="left"/>
      <w:pPr>
        <w:ind w:left="720" w:hanging="360"/>
      </w:pPr>
      <w:rPr>
        <w:rFonts w:eastAsiaTheme="majorEastAsia" w:hint="default"/>
      </w:rPr>
    </w:lvl>
    <w:lvl w:ilvl="1" w:tplc="077680E4" w:tentative="1">
      <w:start w:val="1"/>
      <w:numFmt w:val="lowerLetter"/>
      <w:lvlText w:val="%2."/>
      <w:lvlJc w:val="left"/>
      <w:pPr>
        <w:ind w:left="1440" w:hanging="360"/>
      </w:pPr>
    </w:lvl>
    <w:lvl w:ilvl="2" w:tplc="5268C9FC" w:tentative="1">
      <w:start w:val="1"/>
      <w:numFmt w:val="lowerRoman"/>
      <w:lvlText w:val="%3."/>
      <w:lvlJc w:val="right"/>
      <w:pPr>
        <w:ind w:left="2160" w:hanging="180"/>
      </w:pPr>
    </w:lvl>
    <w:lvl w:ilvl="3" w:tplc="7A103E60" w:tentative="1">
      <w:start w:val="1"/>
      <w:numFmt w:val="decimal"/>
      <w:lvlText w:val="%4."/>
      <w:lvlJc w:val="left"/>
      <w:pPr>
        <w:ind w:left="2880" w:hanging="360"/>
      </w:pPr>
    </w:lvl>
    <w:lvl w:ilvl="4" w:tplc="3286B006" w:tentative="1">
      <w:start w:val="1"/>
      <w:numFmt w:val="lowerLetter"/>
      <w:lvlText w:val="%5."/>
      <w:lvlJc w:val="left"/>
      <w:pPr>
        <w:ind w:left="3600" w:hanging="360"/>
      </w:pPr>
    </w:lvl>
    <w:lvl w:ilvl="5" w:tplc="863E7D02" w:tentative="1">
      <w:start w:val="1"/>
      <w:numFmt w:val="lowerRoman"/>
      <w:lvlText w:val="%6."/>
      <w:lvlJc w:val="right"/>
      <w:pPr>
        <w:ind w:left="4320" w:hanging="180"/>
      </w:pPr>
    </w:lvl>
    <w:lvl w:ilvl="6" w:tplc="2C04E8EC" w:tentative="1">
      <w:start w:val="1"/>
      <w:numFmt w:val="decimal"/>
      <w:lvlText w:val="%7."/>
      <w:lvlJc w:val="left"/>
      <w:pPr>
        <w:ind w:left="5040" w:hanging="360"/>
      </w:pPr>
    </w:lvl>
    <w:lvl w:ilvl="7" w:tplc="4920D46E" w:tentative="1">
      <w:start w:val="1"/>
      <w:numFmt w:val="lowerLetter"/>
      <w:lvlText w:val="%8."/>
      <w:lvlJc w:val="left"/>
      <w:pPr>
        <w:ind w:left="5760" w:hanging="360"/>
      </w:pPr>
    </w:lvl>
    <w:lvl w:ilvl="8" w:tplc="FC60ADA8" w:tentative="1">
      <w:start w:val="1"/>
      <w:numFmt w:val="lowerRoman"/>
      <w:lvlText w:val="%9."/>
      <w:lvlJc w:val="right"/>
      <w:pPr>
        <w:ind w:left="6480" w:hanging="180"/>
      </w:pPr>
    </w:lvl>
  </w:abstractNum>
  <w:abstractNum w:abstractNumId="8">
    <w:nsid w:val="2C933E9F"/>
    <w:multiLevelType w:val="hybridMultilevel"/>
    <w:tmpl w:val="452C17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FC79CC"/>
    <w:multiLevelType w:val="hybridMultilevel"/>
    <w:tmpl w:val="96F6F8C4"/>
    <w:lvl w:ilvl="0" w:tplc="89DAF10E">
      <w:start w:val="1"/>
      <w:numFmt w:val="bullet"/>
      <w:lvlText w:val="•"/>
      <w:lvlJc w:val="left"/>
      <w:pPr>
        <w:tabs>
          <w:tab w:val="num" w:pos="720"/>
        </w:tabs>
        <w:ind w:left="720" w:hanging="360"/>
      </w:pPr>
      <w:rPr>
        <w:rFonts w:ascii="Arial" w:hAnsi="Arial" w:hint="default"/>
      </w:rPr>
    </w:lvl>
    <w:lvl w:ilvl="1" w:tplc="3692EE50" w:tentative="1">
      <w:start w:val="1"/>
      <w:numFmt w:val="bullet"/>
      <w:lvlText w:val="•"/>
      <w:lvlJc w:val="left"/>
      <w:pPr>
        <w:tabs>
          <w:tab w:val="num" w:pos="1440"/>
        </w:tabs>
        <w:ind w:left="1440" w:hanging="360"/>
      </w:pPr>
      <w:rPr>
        <w:rFonts w:ascii="Arial" w:hAnsi="Arial" w:hint="default"/>
      </w:rPr>
    </w:lvl>
    <w:lvl w:ilvl="2" w:tplc="024C8F16" w:tentative="1">
      <w:start w:val="1"/>
      <w:numFmt w:val="bullet"/>
      <w:lvlText w:val="•"/>
      <w:lvlJc w:val="left"/>
      <w:pPr>
        <w:tabs>
          <w:tab w:val="num" w:pos="2160"/>
        </w:tabs>
        <w:ind w:left="2160" w:hanging="360"/>
      </w:pPr>
      <w:rPr>
        <w:rFonts w:ascii="Arial" w:hAnsi="Arial" w:hint="default"/>
      </w:rPr>
    </w:lvl>
    <w:lvl w:ilvl="3" w:tplc="C3760B68" w:tentative="1">
      <w:start w:val="1"/>
      <w:numFmt w:val="bullet"/>
      <w:lvlText w:val="•"/>
      <w:lvlJc w:val="left"/>
      <w:pPr>
        <w:tabs>
          <w:tab w:val="num" w:pos="2880"/>
        </w:tabs>
        <w:ind w:left="2880" w:hanging="360"/>
      </w:pPr>
      <w:rPr>
        <w:rFonts w:ascii="Arial" w:hAnsi="Arial" w:hint="default"/>
      </w:rPr>
    </w:lvl>
    <w:lvl w:ilvl="4" w:tplc="073AA8A2" w:tentative="1">
      <w:start w:val="1"/>
      <w:numFmt w:val="bullet"/>
      <w:lvlText w:val="•"/>
      <w:lvlJc w:val="left"/>
      <w:pPr>
        <w:tabs>
          <w:tab w:val="num" w:pos="3600"/>
        </w:tabs>
        <w:ind w:left="3600" w:hanging="360"/>
      </w:pPr>
      <w:rPr>
        <w:rFonts w:ascii="Arial" w:hAnsi="Arial" w:hint="default"/>
      </w:rPr>
    </w:lvl>
    <w:lvl w:ilvl="5" w:tplc="E8AA712C" w:tentative="1">
      <w:start w:val="1"/>
      <w:numFmt w:val="bullet"/>
      <w:lvlText w:val="•"/>
      <w:lvlJc w:val="left"/>
      <w:pPr>
        <w:tabs>
          <w:tab w:val="num" w:pos="4320"/>
        </w:tabs>
        <w:ind w:left="4320" w:hanging="360"/>
      </w:pPr>
      <w:rPr>
        <w:rFonts w:ascii="Arial" w:hAnsi="Arial" w:hint="default"/>
      </w:rPr>
    </w:lvl>
    <w:lvl w:ilvl="6" w:tplc="3B688CA4" w:tentative="1">
      <w:start w:val="1"/>
      <w:numFmt w:val="bullet"/>
      <w:lvlText w:val="•"/>
      <w:lvlJc w:val="left"/>
      <w:pPr>
        <w:tabs>
          <w:tab w:val="num" w:pos="5040"/>
        </w:tabs>
        <w:ind w:left="5040" w:hanging="360"/>
      </w:pPr>
      <w:rPr>
        <w:rFonts w:ascii="Arial" w:hAnsi="Arial" w:hint="default"/>
      </w:rPr>
    </w:lvl>
    <w:lvl w:ilvl="7" w:tplc="F0A8E0A0" w:tentative="1">
      <w:start w:val="1"/>
      <w:numFmt w:val="bullet"/>
      <w:lvlText w:val="•"/>
      <w:lvlJc w:val="left"/>
      <w:pPr>
        <w:tabs>
          <w:tab w:val="num" w:pos="5760"/>
        </w:tabs>
        <w:ind w:left="5760" w:hanging="360"/>
      </w:pPr>
      <w:rPr>
        <w:rFonts w:ascii="Arial" w:hAnsi="Arial" w:hint="default"/>
      </w:rPr>
    </w:lvl>
    <w:lvl w:ilvl="8" w:tplc="EF8A395A" w:tentative="1">
      <w:start w:val="1"/>
      <w:numFmt w:val="bullet"/>
      <w:lvlText w:val="•"/>
      <w:lvlJc w:val="left"/>
      <w:pPr>
        <w:tabs>
          <w:tab w:val="num" w:pos="6480"/>
        </w:tabs>
        <w:ind w:left="6480" w:hanging="360"/>
      </w:pPr>
      <w:rPr>
        <w:rFonts w:ascii="Arial" w:hAnsi="Arial" w:hint="default"/>
      </w:rPr>
    </w:lvl>
  </w:abstractNum>
  <w:abstractNum w:abstractNumId="10">
    <w:nsid w:val="383F0921"/>
    <w:multiLevelType w:val="hybridMultilevel"/>
    <w:tmpl w:val="D01A0562"/>
    <w:lvl w:ilvl="0" w:tplc="9372F432">
      <w:start w:val="1"/>
      <w:numFmt w:val="bullet"/>
      <w:lvlText w:val=""/>
      <w:lvlJc w:val="left"/>
      <w:pPr>
        <w:ind w:left="1080" w:hanging="360"/>
      </w:pPr>
      <w:rPr>
        <w:rFonts w:ascii="Symbol" w:hAnsi="Symbol" w:hint="default"/>
      </w:rPr>
    </w:lvl>
    <w:lvl w:ilvl="1" w:tplc="E1143C98" w:tentative="1">
      <w:start w:val="1"/>
      <w:numFmt w:val="bullet"/>
      <w:lvlText w:val="o"/>
      <w:lvlJc w:val="left"/>
      <w:pPr>
        <w:ind w:left="1800" w:hanging="360"/>
      </w:pPr>
      <w:rPr>
        <w:rFonts w:ascii="Courier New" w:hAnsi="Courier New" w:cs="Courier New" w:hint="default"/>
      </w:rPr>
    </w:lvl>
    <w:lvl w:ilvl="2" w:tplc="E15C00DE" w:tentative="1">
      <w:start w:val="1"/>
      <w:numFmt w:val="bullet"/>
      <w:lvlText w:val=""/>
      <w:lvlJc w:val="left"/>
      <w:pPr>
        <w:ind w:left="2520" w:hanging="360"/>
      </w:pPr>
      <w:rPr>
        <w:rFonts w:ascii="Wingdings" w:hAnsi="Wingdings" w:hint="default"/>
      </w:rPr>
    </w:lvl>
    <w:lvl w:ilvl="3" w:tplc="89283F30" w:tentative="1">
      <w:start w:val="1"/>
      <w:numFmt w:val="bullet"/>
      <w:lvlText w:val=""/>
      <w:lvlJc w:val="left"/>
      <w:pPr>
        <w:ind w:left="3240" w:hanging="360"/>
      </w:pPr>
      <w:rPr>
        <w:rFonts w:ascii="Symbol" w:hAnsi="Symbol" w:hint="default"/>
      </w:rPr>
    </w:lvl>
    <w:lvl w:ilvl="4" w:tplc="9C12C770" w:tentative="1">
      <w:start w:val="1"/>
      <w:numFmt w:val="bullet"/>
      <w:lvlText w:val="o"/>
      <w:lvlJc w:val="left"/>
      <w:pPr>
        <w:ind w:left="3960" w:hanging="360"/>
      </w:pPr>
      <w:rPr>
        <w:rFonts w:ascii="Courier New" w:hAnsi="Courier New" w:cs="Courier New" w:hint="default"/>
      </w:rPr>
    </w:lvl>
    <w:lvl w:ilvl="5" w:tplc="B1F6C7DE" w:tentative="1">
      <w:start w:val="1"/>
      <w:numFmt w:val="bullet"/>
      <w:lvlText w:val=""/>
      <w:lvlJc w:val="left"/>
      <w:pPr>
        <w:ind w:left="4680" w:hanging="360"/>
      </w:pPr>
      <w:rPr>
        <w:rFonts w:ascii="Wingdings" w:hAnsi="Wingdings" w:hint="default"/>
      </w:rPr>
    </w:lvl>
    <w:lvl w:ilvl="6" w:tplc="11B8246C" w:tentative="1">
      <w:start w:val="1"/>
      <w:numFmt w:val="bullet"/>
      <w:lvlText w:val=""/>
      <w:lvlJc w:val="left"/>
      <w:pPr>
        <w:ind w:left="5400" w:hanging="360"/>
      </w:pPr>
      <w:rPr>
        <w:rFonts w:ascii="Symbol" w:hAnsi="Symbol" w:hint="default"/>
      </w:rPr>
    </w:lvl>
    <w:lvl w:ilvl="7" w:tplc="BB9A9342" w:tentative="1">
      <w:start w:val="1"/>
      <w:numFmt w:val="bullet"/>
      <w:lvlText w:val="o"/>
      <w:lvlJc w:val="left"/>
      <w:pPr>
        <w:ind w:left="6120" w:hanging="360"/>
      </w:pPr>
      <w:rPr>
        <w:rFonts w:ascii="Courier New" w:hAnsi="Courier New" w:cs="Courier New" w:hint="default"/>
      </w:rPr>
    </w:lvl>
    <w:lvl w:ilvl="8" w:tplc="E60CDEFA" w:tentative="1">
      <w:start w:val="1"/>
      <w:numFmt w:val="bullet"/>
      <w:lvlText w:val=""/>
      <w:lvlJc w:val="left"/>
      <w:pPr>
        <w:ind w:left="6840" w:hanging="360"/>
      </w:pPr>
      <w:rPr>
        <w:rFonts w:ascii="Wingdings" w:hAnsi="Wingdings" w:hint="default"/>
      </w:rPr>
    </w:lvl>
  </w:abstractNum>
  <w:abstractNum w:abstractNumId="11">
    <w:nsid w:val="3B1426A3"/>
    <w:multiLevelType w:val="hybridMultilevel"/>
    <w:tmpl w:val="F738E444"/>
    <w:lvl w:ilvl="0" w:tplc="82F4513C">
      <w:start w:val="1"/>
      <w:numFmt w:val="decimal"/>
      <w:lvlText w:val="%1."/>
      <w:lvlJc w:val="left"/>
      <w:pPr>
        <w:ind w:left="720" w:hanging="360"/>
      </w:pPr>
    </w:lvl>
    <w:lvl w:ilvl="1" w:tplc="FE1C3B24" w:tentative="1">
      <w:start w:val="1"/>
      <w:numFmt w:val="lowerLetter"/>
      <w:lvlText w:val="%2."/>
      <w:lvlJc w:val="left"/>
      <w:pPr>
        <w:ind w:left="1440" w:hanging="360"/>
      </w:pPr>
    </w:lvl>
    <w:lvl w:ilvl="2" w:tplc="2E26BB3E" w:tentative="1">
      <w:start w:val="1"/>
      <w:numFmt w:val="lowerRoman"/>
      <w:lvlText w:val="%3."/>
      <w:lvlJc w:val="right"/>
      <w:pPr>
        <w:ind w:left="2160" w:hanging="180"/>
      </w:pPr>
    </w:lvl>
    <w:lvl w:ilvl="3" w:tplc="BA12C392" w:tentative="1">
      <w:start w:val="1"/>
      <w:numFmt w:val="decimal"/>
      <w:lvlText w:val="%4."/>
      <w:lvlJc w:val="left"/>
      <w:pPr>
        <w:ind w:left="2880" w:hanging="360"/>
      </w:pPr>
    </w:lvl>
    <w:lvl w:ilvl="4" w:tplc="4B2EB80E" w:tentative="1">
      <w:start w:val="1"/>
      <w:numFmt w:val="lowerLetter"/>
      <w:lvlText w:val="%5."/>
      <w:lvlJc w:val="left"/>
      <w:pPr>
        <w:ind w:left="3600" w:hanging="360"/>
      </w:pPr>
    </w:lvl>
    <w:lvl w:ilvl="5" w:tplc="A30C7488" w:tentative="1">
      <w:start w:val="1"/>
      <w:numFmt w:val="lowerRoman"/>
      <w:lvlText w:val="%6."/>
      <w:lvlJc w:val="right"/>
      <w:pPr>
        <w:ind w:left="4320" w:hanging="180"/>
      </w:pPr>
    </w:lvl>
    <w:lvl w:ilvl="6" w:tplc="1038AA3E" w:tentative="1">
      <w:start w:val="1"/>
      <w:numFmt w:val="decimal"/>
      <w:lvlText w:val="%7."/>
      <w:lvlJc w:val="left"/>
      <w:pPr>
        <w:ind w:left="5040" w:hanging="360"/>
      </w:pPr>
    </w:lvl>
    <w:lvl w:ilvl="7" w:tplc="7920460E" w:tentative="1">
      <w:start w:val="1"/>
      <w:numFmt w:val="lowerLetter"/>
      <w:lvlText w:val="%8."/>
      <w:lvlJc w:val="left"/>
      <w:pPr>
        <w:ind w:left="5760" w:hanging="360"/>
      </w:pPr>
    </w:lvl>
    <w:lvl w:ilvl="8" w:tplc="E638B32A" w:tentative="1">
      <w:start w:val="1"/>
      <w:numFmt w:val="lowerRoman"/>
      <w:lvlText w:val="%9."/>
      <w:lvlJc w:val="right"/>
      <w:pPr>
        <w:ind w:left="6480" w:hanging="180"/>
      </w:pPr>
    </w:lvl>
  </w:abstractNum>
  <w:abstractNum w:abstractNumId="12">
    <w:nsid w:val="3FB40F00"/>
    <w:multiLevelType w:val="multilevel"/>
    <w:tmpl w:val="2BC475FA"/>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C27DC7"/>
    <w:multiLevelType w:val="hybridMultilevel"/>
    <w:tmpl w:val="37FC0E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EF84580"/>
    <w:multiLevelType w:val="hybridMultilevel"/>
    <w:tmpl w:val="8B8280FA"/>
    <w:lvl w:ilvl="0" w:tplc="E1D400F6">
      <w:start w:val="1"/>
      <w:numFmt w:val="decimal"/>
      <w:lvlText w:val="%1)"/>
      <w:lvlJc w:val="left"/>
      <w:pPr>
        <w:ind w:left="720" w:hanging="360"/>
      </w:pPr>
    </w:lvl>
    <w:lvl w:ilvl="1" w:tplc="5A12BEA2" w:tentative="1">
      <w:start w:val="1"/>
      <w:numFmt w:val="lowerLetter"/>
      <w:lvlText w:val="%2."/>
      <w:lvlJc w:val="left"/>
      <w:pPr>
        <w:ind w:left="1440" w:hanging="360"/>
      </w:pPr>
    </w:lvl>
    <w:lvl w:ilvl="2" w:tplc="07F0D580" w:tentative="1">
      <w:start w:val="1"/>
      <w:numFmt w:val="lowerRoman"/>
      <w:lvlText w:val="%3."/>
      <w:lvlJc w:val="right"/>
      <w:pPr>
        <w:ind w:left="2160" w:hanging="180"/>
      </w:pPr>
    </w:lvl>
    <w:lvl w:ilvl="3" w:tplc="08D05B42" w:tentative="1">
      <w:start w:val="1"/>
      <w:numFmt w:val="decimal"/>
      <w:lvlText w:val="%4."/>
      <w:lvlJc w:val="left"/>
      <w:pPr>
        <w:ind w:left="2880" w:hanging="360"/>
      </w:pPr>
    </w:lvl>
    <w:lvl w:ilvl="4" w:tplc="876237A8" w:tentative="1">
      <w:start w:val="1"/>
      <w:numFmt w:val="lowerLetter"/>
      <w:lvlText w:val="%5."/>
      <w:lvlJc w:val="left"/>
      <w:pPr>
        <w:ind w:left="3600" w:hanging="360"/>
      </w:pPr>
    </w:lvl>
    <w:lvl w:ilvl="5" w:tplc="ACEECDC6" w:tentative="1">
      <w:start w:val="1"/>
      <w:numFmt w:val="lowerRoman"/>
      <w:lvlText w:val="%6."/>
      <w:lvlJc w:val="right"/>
      <w:pPr>
        <w:ind w:left="4320" w:hanging="180"/>
      </w:pPr>
    </w:lvl>
    <w:lvl w:ilvl="6" w:tplc="A22ACDA0" w:tentative="1">
      <w:start w:val="1"/>
      <w:numFmt w:val="decimal"/>
      <w:lvlText w:val="%7."/>
      <w:lvlJc w:val="left"/>
      <w:pPr>
        <w:ind w:left="5040" w:hanging="360"/>
      </w:pPr>
    </w:lvl>
    <w:lvl w:ilvl="7" w:tplc="EAD0CB9A" w:tentative="1">
      <w:start w:val="1"/>
      <w:numFmt w:val="lowerLetter"/>
      <w:lvlText w:val="%8."/>
      <w:lvlJc w:val="left"/>
      <w:pPr>
        <w:ind w:left="5760" w:hanging="360"/>
      </w:pPr>
    </w:lvl>
    <w:lvl w:ilvl="8" w:tplc="6C50C48C" w:tentative="1">
      <w:start w:val="1"/>
      <w:numFmt w:val="lowerRoman"/>
      <w:lvlText w:val="%9."/>
      <w:lvlJc w:val="right"/>
      <w:pPr>
        <w:ind w:left="6480" w:hanging="180"/>
      </w:pPr>
    </w:lvl>
  </w:abstractNum>
  <w:abstractNum w:abstractNumId="15">
    <w:nsid w:val="521667AE"/>
    <w:multiLevelType w:val="hybridMultilevel"/>
    <w:tmpl w:val="CEE6E032"/>
    <w:lvl w:ilvl="0" w:tplc="F5426ABA">
      <w:start w:val="1"/>
      <w:numFmt w:val="decimal"/>
      <w:lvlText w:val="%1)"/>
      <w:lvlJc w:val="left"/>
      <w:pPr>
        <w:ind w:left="720" w:hanging="360"/>
      </w:pPr>
    </w:lvl>
    <w:lvl w:ilvl="1" w:tplc="C36E0DE0" w:tentative="1">
      <w:start w:val="1"/>
      <w:numFmt w:val="lowerLetter"/>
      <w:lvlText w:val="%2."/>
      <w:lvlJc w:val="left"/>
      <w:pPr>
        <w:ind w:left="1440" w:hanging="360"/>
      </w:pPr>
    </w:lvl>
    <w:lvl w:ilvl="2" w:tplc="86420FFE" w:tentative="1">
      <w:start w:val="1"/>
      <w:numFmt w:val="lowerRoman"/>
      <w:lvlText w:val="%3."/>
      <w:lvlJc w:val="right"/>
      <w:pPr>
        <w:ind w:left="2160" w:hanging="180"/>
      </w:pPr>
    </w:lvl>
    <w:lvl w:ilvl="3" w:tplc="CD34ED6E" w:tentative="1">
      <w:start w:val="1"/>
      <w:numFmt w:val="decimal"/>
      <w:lvlText w:val="%4."/>
      <w:lvlJc w:val="left"/>
      <w:pPr>
        <w:ind w:left="2880" w:hanging="360"/>
      </w:pPr>
    </w:lvl>
    <w:lvl w:ilvl="4" w:tplc="4CB2DFCC" w:tentative="1">
      <w:start w:val="1"/>
      <w:numFmt w:val="lowerLetter"/>
      <w:lvlText w:val="%5."/>
      <w:lvlJc w:val="left"/>
      <w:pPr>
        <w:ind w:left="3600" w:hanging="360"/>
      </w:pPr>
    </w:lvl>
    <w:lvl w:ilvl="5" w:tplc="172A05F8" w:tentative="1">
      <w:start w:val="1"/>
      <w:numFmt w:val="lowerRoman"/>
      <w:lvlText w:val="%6."/>
      <w:lvlJc w:val="right"/>
      <w:pPr>
        <w:ind w:left="4320" w:hanging="180"/>
      </w:pPr>
    </w:lvl>
    <w:lvl w:ilvl="6" w:tplc="65003760" w:tentative="1">
      <w:start w:val="1"/>
      <w:numFmt w:val="decimal"/>
      <w:lvlText w:val="%7."/>
      <w:lvlJc w:val="left"/>
      <w:pPr>
        <w:ind w:left="5040" w:hanging="360"/>
      </w:pPr>
    </w:lvl>
    <w:lvl w:ilvl="7" w:tplc="C28CFBC0" w:tentative="1">
      <w:start w:val="1"/>
      <w:numFmt w:val="lowerLetter"/>
      <w:lvlText w:val="%8."/>
      <w:lvlJc w:val="left"/>
      <w:pPr>
        <w:ind w:left="5760" w:hanging="360"/>
      </w:pPr>
    </w:lvl>
    <w:lvl w:ilvl="8" w:tplc="95464D74" w:tentative="1">
      <w:start w:val="1"/>
      <w:numFmt w:val="lowerRoman"/>
      <w:lvlText w:val="%9."/>
      <w:lvlJc w:val="right"/>
      <w:pPr>
        <w:ind w:left="6480" w:hanging="180"/>
      </w:pPr>
    </w:lvl>
  </w:abstractNum>
  <w:abstractNum w:abstractNumId="16">
    <w:nsid w:val="52DD39EC"/>
    <w:multiLevelType w:val="hybridMultilevel"/>
    <w:tmpl w:val="9AB23EF4"/>
    <w:lvl w:ilvl="0" w:tplc="4BE40276">
      <w:start w:val="1"/>
      <w:numFmt w:val="bullet"/>
      <w:lvlText w:val="•"/>
      <w:lvlJc w:val="left"/>
      <w:pPr>
        <w:tabs>
          <w:tab w:val="num" w:pos="720"/>
        </w:tabs>
        <w:ind w:left="720" w:hanging="360"/>
      </w:pPr>
      <w:rPr>
        <w:rFonts w:ascii="Arial" w:hAnsi="Arial" w:hint="default"/>
      </w:rPr>
    </w:lvl>
    <w:lvl w:ilvl="1" w:tplc="D30AB7E8" w:tentative="1">
      <w:start w:val="1"/>
      <w:numFmt w:val="bullet"/>
      <w:lvlText w:val="•"/>
      <w:lvlJc w:val="left"/>
      <w:pPr>
        <w:tabs>
          <w:tab w:val="num" w:pos="1440"/>
        </w:tabs>
        <w:ind w:left="1440" w:hanging="360"/>
      </w:pPr>
      <w:rPr>
        <w:rFonts w:ascii="Arial" w:hAnsi="Arial" w:hint="default"/>
      </w:rPr>
    </w:lvl>
    <w:lvl w:ilvl="2" w:tplc="E2EE739C" w:tentative="1">
      <w:start w:val="1"/>
      <w:numFmt w:val="bullet"/>
      <w:lvlText w:val="•"/>
      <w:lvlJc w:val="left"/>
      <w:pPr>
        <w:tabs>
          <w:tab w:val="num" w:pos="2160"/>
        </w:tabs>
        <w:ind w:left="2160" w:hanging="360"/>
      </w:pPr>
      <w:rPr>
        <w:rFonts w:ascii="Arial" w:hAnsi="Arial" w:hint="default"/>
      </w:rPr>
    </w:lvl>
    <w:lvl w:ilvl="3" w:tplc="BC660796" w:tentative="1">
      <w:start w:val="1"/>
      <w:numFmt w:val="bullet"/>
      <w:lvlText w:val="•"/>
      <w:lvlJc w:val="left"/>
      <w:pPr>
        <w:tabs>
          <w:tab w:val="num" w:pos="2880"/>
        </w:tabs>
        <w:ind w:left="2880" w:hanging="360"/>
      </w:pPr>
      <w:rPr>
        <w:rFonts w:ascii="Arial" w:hAnsi="Arial" w:hint="default"/>
      </w:rPr>
    </w:lvl>
    <w:lvl w:ilvl="4" w:tplc="882A3198" w:tentative="1">
      <w:start w:val="1"/>
      <w:numFmt w:val="bullet"/>
      <w:lvlText w:val="•"/>
      <w:lvlJc w:val="left"/>
      <w:pPr>
        <w:tabs>
          <w:tab w:val="num" w:pos="3600"/>
        </w:tabs>
        <w:ind w:left="3600" w:hanging="360"/>
      </w:pPr>
      <w:rPr>
        <w:rFonts w:ascii="Arial" w:hAnsi="Arial" w:hint="default"/>
      </w:rPr>
    </w:lvl>
    <w:lvl w:ilvl="5" w:tplc="DE18C0CA" w:tentative="1">
      <w:start w:val="1"/>
      <w:numFmt w:val="bullet"/>
      <w:lvlText w:val="•"/>
      <w:lvlJc w:val="left"/>
      <w:pPr>
        <w:tabs>
          <w:tab w:val="num" w:pos="4320"/>
        </w:tabs>
        <w:ind w:left="4320" w:hanging="360"/>
      </w:pPr>
      <w:rPr>
        <w:rFonts w:ascii="Arial" w:hAnsi="Arial" w:hint="default"/>
      </w:rPr>
    </w:lvl>
    <w:lvl w:ilvl="6" w:tplc="8146BDBE" w:tentative="1">
      <w:start w:val="1"/>
      <w:numFmt w:val="bullet"/>
      <w:lvlText w:val="•"/>
      <w:lvlJc w:val="left"/>
      <w:pPr>
        <w:tabs>
          <w:tab w:val="num" w:pos="5040"/>
        </w:tabs>
        <w:ind w:left="5040" w:hanging="360"/>
      </w:pPr>
      <w:rPr>
        <w:rFonts w:ascii="Arial" w:hAnsi="Arial" w:hint="default"/>
      </w:rPr>
    </w:lvl>
    <w:lvl w:ilvl="7" w:tplc="CD76D210" w:tentative="1">
      <w:start w:val="1"/>
      <w:numFmt w:val="bullet"/>
      <w:lvlText w:val="•"/>
      <w:lvlJc w:val="left"/>
      <w:pPr>
        <w:tabs>
          <w:tab w:val="num" w:pos="5760"/>
        </w:tabs>
        <w:ind w:left="5760" w:hanging="360"/>
      </w:pPr>
      <w:rPr>
        <w:rFonts w:ascii="Arial" w:hAnsi="Arial" w:hint="default"/>
      </w:rPr>
    </w:lvl>
    <w:lvl w:ilvl="8" w:tplc="47EC97CE" w:tentative="1">
      <w:start w:val="1"/>
      <w:numFmt w:val="bullet"/>
      <w:lvlText w:val="•"/>
      <w:lvlJc w:val="left"/>
      <w:pPr>
        <w:tabs>
          <w:tab w:val="num" w:pos="6480"/>
        </w:tabs>
        <w:ind w:left="6480" w:hanging="360"/>
      </w:pPr>
      <w:rPr>
        <w:rFonts w:ascii="Arial" w:hAnsi="Arial" w:hint="default"/>
      </w:rPr>
    </w:lvl>
  </w:abstractNum>
  <w:abstractNum w:abstractNumId="17">
    <w:nsid w:val="5354779B"/>
    <w:multiLevelType w:val="hybridMultilevel"/>
    <w:tmpl w:val="192ACA70"/>
    <w:lvl w:ilvl="0" w:tplc="6450B30A">
      <w:start w:val="1"/>
      <w:numFmt w:val="decimal"/>
      <w:lvlText w:val="%1."/>
      <w:lvlJc w:val="left"/>
      <w:pPr>
        <w:ind w:left="360" w:hanging="360"/>
      </w:pPr>
    </w:lvl>
    <w:lvl w:ilvl="1" w:tplc="357652A4" w:tentative="1">
      <w:start w:val="1"/>
      <w:numFmt w:val="lowerLetter"/>
      <w:lvlText w:val="%2."/>
      <w:lvlJc w:val="left"/>
      <w:pPr>
        <w:ind w:left="1080" w:hanging="360"/>
      </w:pPr>
    </w:lvl>
    <w:lvl w:ilvl="2" w:tplc="D1380320" w:tentative="1">
      <w:start w:val="1"/>
      <w:numFmt w:val="lowerRoman"/>
      <w:lvlText w:val="%3."/>
      <w:lvlJc w:val="right"/>
      <w:pPr>
        <w:ind w:left="1800" w:hanging="180"/>
      </w:pPr>
    </w:lvl>
    <w:lvl w:ilvl="3" w:tplc="5EF446F8" w:tentative="1">
      <w:start w:val="1"/>
      <w:numFmt w:val="decimal"/>
      <w:lvlText w:val="%4."/>
      <w:lvlJc w:val="left"/>
      <w:pPr>
        <w:ind w:left="2520" w:hanging="360"/>
      </w:pPr>
    </w:lvl>
    <w:lvl w:ilvl="4" w:tplc="23721CFE" w:tentative="1">
      <w:start w:val="1"/>
      <w:numFmt w:val="lowerLetter"/>
      <w:lvlText w:val="%5."/>
      <w:lvlJc w:val="left"/>
      <w:pPr>
        <w:ind w:left="3240" w:hanging="360"/>
      </w:pPr>
    </w:lvl>
    <w:lvl w:ilvl="5" w:tplc="9A2C2082" w:tentative="1">
      <w:start w:val="1"/>
      <w:numFmt w:val="lowerRoman"/>
      <w:lvlText w:val="%6."/>
      <w:lvlJc w:val="right"/>
      <w:pPr>
        <w:ind w:left="3960" w:hanging="180"/>
      </w:pPr>
    </w:lvl>
    <w:lvl w:ilvl="6" w:tplc="A0D0BD5C" w:tentative="1">
      <w:start w:val="1"/>
      <w:numFmt w:val="decimal"/>
      <w:lvlText w:val="%7."/>
      <w:lvlJc w:val="left"/>
      <w:pPr>
        <w:ind w:left="4680" w:hanging="360"/>
      </w:pPr>
    </w:lvl>
    <w:lvl w:ilvl="7" w:tplc="1B1A2A3A" w:tentative="1">
      <w:start w:val="1"/>
      <w:numFmt w:val="lowerLetter"/>
      <w:lvlText w:val="%8."/>
      <w:lvlJc w:val="left"/>
      <w:pPr>
        <w:ind w:left="5400" w:hanging="360"/>
      </w:pPr>
    </w:lvl>
    <w:lvl w:ilvl="8" w:tplc="7494E434" w:tentative="1">
      <w:start w:val="1"/>
      <w:numFmt w:val="lowerRoman"/>
      <w:lvlText w:val="%9."/>
      <w:lvlJc w:val="right"/>
      <w:pPr>
        <w:ind w:left="6120" w:hanging="180"/>
      </w:pPr>
    </w:lvl>
  </w:abstractNum>
  <w:abstractNum w:abstractNumId="18">
    <w:nsid w:val="59BD6182"/>
    <w:multiLevelType w:val="multilevel"/>
    <w:tmpl w:val="00A4D0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D165839"/>
    <w:multiLevelType w:val="multilevel"/>
    <w:tmpl w:val="E30A8F6E"/>
    <w:lvl w:ilvl="0">
      <w:start w:val="1"/>
      <w:numFmt w:val="decimal"/>
      <w:lvlText w:val="%1."/>
      <w:lvlJc w:val="left"/>
      <w:pPr>
        <w:ind w:left="1130" w:hanging="360"/>
      </w:pPr>
      <w:rPr>
        <w:rFonts w:eastAsia="Malgun Gothic"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490" w:hanging="72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1850" w:hanging="1080"/>
      </w:pPr>
      <w:rPr>
        <w:rFonts w:hint="default"/>
      </w:rPr>
    </w:lvl>
    <w:lvl w:ilvl="6">
      <w:start w:val="1"/>
      <w:numFmt w:val="decimal"/>
      <w:isLgl/>
      <w:lvlText w:val="%1.%2.%3.%4.%5.%6.%7"/>
      <w:lvlJc w:val="left"/>
      <w:pPr>
        <w:ind w:left="2210" w:hanging="1440"/>
      </w:pPr>
      <w:rPr>
        <w:rFonts w:hint="default"/>
      </w:rPr>
    </w:lvl>
    <w:lvl w:ilvl="7">
      <w:start w:val="1"/>
      <w:numFmt w:val="decimal"/>
      <w:isLgl/>
      <w:lvlText w:val="%1.%2.%3.%4.%5.%6.%7.%8"/>
      <w:lvlJc w:val="left"/>
      <w:pPr>
        <w:ind w:left="2210" w:hanging="1440"/>
      </w:pPr>
      <w:rPr>
        <w:rFonts w:hint="default"/>
      </w:rPr>
    </w:lvl>
    <w:lvl w:ilvl="8">
      <w:start w:val="1"/>
      <w:numFmt w:val="decimal"/>
      <w:isLgl/>
      <w:lvlText w:val="%1.%2.%3.%4.%5.%6.%7.%8.%9"/>
      <w:lvlJc w:val="left"/>
      <w:pPr>
        <w:ind w:left="2570" w:hanging="1800"/>
      </w:pPr>
      <w:rPr>
        <w:rFonts w:hint="default"/>
      </w:rPr>
    </w:lvl>
  </w:abstractNum>
  <w:abstractNum w:abstractNumId="20">
    <w:nsid w:val="72143EC2"/>
    <w:multiLevelType w:val="hybridMultilevel"/>
    <w:tmpl w:val="C944EB58"/>
    <w:lvl w:ilvl="0" w:tplc="1214CB5C">
      <w:start w:val="1"/>
      <w:numFmt w:val="lowerRoman"/>
      <w:lvlText w:val="%1."/>
      <w:lvlJc w:val="right"/>
      <w:pPr>
        <w:ind w:left="2502" w:hanging="360"/>
      </w:pPr>
    </w:lvl>
    <w:lvl w:ilvl="1" w:tplc="1706AE72" w:tentative="1">
      <w:start w:val="1"/>
      <w:numFmt w:val="lowerLetter"/>
      <w:lvlText w:val="%2."/>
      <w:lvlJc w:val="left"/>
      <w:pPr>
        <w:ind w:left="3222" w:hanging="360"/>
      </w:pPr>
    </w:lvl>
    <w:lvl w:ilvl="2" w:tplc="EE98CC02" w:tentative="1">
      <w:start w:val="1"/>
      <w:numFmt w:val="lowerRoman"/>
      <w:lvlText w:val="%3."/>
      <w:lvlJc w:val="right"/>
      <w:pPr>
        <w:ind w:left="3942" w:hanging="180"/>
      </w:pPr>
    </w:lvl>
    <w:lvl w:ilvl="3" w:tplc="F6C0B108" w:tentative="1">
      <w:start w:val="1"/>
      <w:numFmt w:val="decimal"/>
      <w:lvlText w:val="%4."/>
      <w:lvlJc w:val="left"/>
      <w:pPr>
        <w:ind w:left="4662" w:hanging="360"/>
      </w:pPr>
    </w:lvl>
    <w:lvl w:ilvl="4" w:tplc="F3685DAC" w:tentative="1">
      <w:start w:val="1"/>
      <w:numFmt w:val="lowerLetter"/>
      <w:lvlText w:val="%5."/>
      <w:lvlJc w:val="left"/>
      <w:pPr>
        <w:ind w:left="5382" w:hanging="360"/>
      </w:pPr>
    </w:lvl>
    <w:lvl w:ilvl="5" w:tplc="F252DF22" w:tentative="1">
      <w:start w:val="1"/>
      <w:numFmt w:val="lowerRoman"/>
      <w:lvlText w:val="%6."/>
      <w:lvlJc w:val="right"/>
      <w:pPr>
        <w:ind w:left="6102" w:hanging="180"/>
      </w:pPr>
    </w:lvl>
    <w:lvl w:ilvl="6" w:tplc="9882197C" w:tentative="1">
      <w:start w:val="1"/>
      <w:numFmt w:val="decimal"/>
      <w:lvlText w:val="%7."/>
      <w:lvlJc w:val="left"/>
      <w:pPr>
        <w:ind w:left="6822" w:hanging="360"/>
      </w:pPr>
    </w:lvl>
    <w:lvl w:ilvl="7" w:tplc="FB2EA75E" w:tentative="1">
      <w:start w:val="1"/>
      <w:numFmt w:val="lowerLetter"/>
      <w:lvlText w:val="%8."/>
      <w:lvlJc w:val="left"/>
      <w:pPr>
        <w:ind w:left="7542" w:hanging="360"/>
      </w:pPr>
    </w:lvl>
    <w:lvl w:ilvl="8" w:tplc="65AC1404" w:tentative="1">
      <w:start w:val="1"/>
      <w:numFmt w:val="lowerRoman"/>
      <w:lvlText w:val="%9."/>
      <w:lvlJc w:val="right"/>
      <w:pPr>
        <w:ind w:left="8262" w:hanging="180"/>
      </w:pPr>
    </w:lvl>
  </w:abstractNum>
  <w:abstractNum w:abstractNumId="21">
    <w:nsid w:val="788C5F92"/>
    <w:multiLevelType w:val="hybridMultilevel"/>
    <w:tmpl w:val="6868C55C"/>
    <w:lvl w:ilvl="0" w:tplc="5D806E86">
      <w:start w:val="1"/>
      <w:numFmt w:val="decimal"/>
      <w:lvlText w:val="%1."/>
      <w:lvlJc w:val="left"/>
      <w:pPr>
        <w:ind w:left="360" w:hanging="360"/>
      </w:pPr>
    </w:lvl>
    <w:lvl w:ilvl="1" w:tplc="7CCC16B2" w:tentative="1">
      <w:start w:val="1"/>
      <w:numFmt w:val="lowerLetter"/>
      <w:lvlText w:val="%2."/>
      <w:lvlJc w:val="left"/>
      <w:pPr>
        <w:ind w:left="1080" w:hanging="360"/>
      </w:pPr>
    </w:lvl>
    <w:lvl w:ilvl="2" w:tplc="1BEED110" w:tentative="1">
      <w:start w:val="1"/>
      <w:numFmt w:val="lowerRoman"/>
      <w:lvlText w:val="%3."/>
      <w:lvlJc w:val="right"/>
      <w:pPr>
        <w:ind w:left="1800" w:hanging="180"/>
      </w:pPr>
    </w:lvl>
    <w:lvl w:ilvl="3" w:tplc="F40E53D4" w:tentative="1">
      <w:start w:val="1"/>
      <w:numFmt w:val="decimal"/>
      <w:lvlText w:val="%4."/>
      <w:lvlJc w:val="left"/>
      <w:pPr>
        <w:ind w:left="2520" w:hanging="360"/>
      </w:pPr>
    </w:lvl>
    <w:lvl w:ilvl="4" w:tplc="3FF856B2" w:tentative="1">
      <w:start w:val="1"/>
      <w:numFmt w:val="lowerLetter"/>
      <w:lvlText w:val="%5."/>
      <w:lvlJc w:val="left"/>
      <w:pPr>
        <w:ind w:left="3240" w:hanging="360"/>
      </w:pPr>
    </w:lvl>
    <w:lvl w:ilvl="5" w:tplc="78AE3B84" w:tentative="1">
      <w:start w:val="1"/>
      <w:numFmt w:val="lowerRoman"/>
      <w:lvlText w:val="%6."/>
      <w:lvlJc w:val="right"/>
      <w:pPr>
        <w:ind w:left="3960" w:hanging="180"/>
      </w:pPr>
    </w:lvl>
    <w:lvl w:ilvl="6" w:tplc="A364D6A2" w:tentative="1">
      <w:start w:val="1"/>
      <w:numFmt w:val="decimal"/>
      <w:lvlText w:val="%7."/>
      <w:lvlJc w:val="left"/>
      <w:pPr>
        <w:ind w:left="4680" w:hanging="360"/>
      </w:pPr>
    </w:lvl>
    <w:lvl w:ilvl="7" w:tplc="A3300C48" w:tentative="1">
      <w:start w:val="1"/>
      <w:numFmt w:val="lowerLetter"/>
      <w:lvlText w:val="%8."/>
      <w:lvlJc w:val="left"/>
      <w:pPr>
        <w:ind w:left="5400" w:hanging="360"/>
      </w:pPr>
    </w:lvl>
    <w:lvl w:ilvl="8" w:tplc="68E810CA" w:tentative="1">
      <w:start w:val="1"/>
      <w:numFmt w:val="lowerRoman"/>
      <w:lvlText w:val="%9."/>
      <w:lvlJc w:val="right"/>
      <w:pPr>
        <w:ind w:left="6120" w:hanging="180"/>
      </w:pPr>
    </w:lvl>
  </w:abstractNum>
  <w:abstractNum w:abstractNumId="22">
    <w:nsid w:val="7AA71A8A"/>
    <w:multiLevelType w:val="hybridMultilevel"/>
    <w:tmpl w:val="F6CA2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CD12ACE"/>
    <w:multiLevelType w:val="hybridMultilevel"/>
    <w:tmpl w:val="CC44FBC6"/>
    <w:lvl w:ilvl="0" w:tplc="EABA7374">
      <w:start w:val="1"/>
      <w:numFmt w:val="decimal"/>
      <w:lvlText w:val="%1."/>
      <w:lvlJc w:val="left"/>
      <w:pPr>
        <w:ind w:left="720" w:hanging="360"/>
      </w:pPr>
      <w:rPr>
        <w:rFonts w:eastAsiaTheme="majorEastAsia" w:hint="default"/>
      </w:rPr>
    </w:lvl>
    <w:lvl w:ilvl="1" w:tplc="8E42DB3A" w:tentative="1">
      <w:start w:val="1"/>
      <w:numFmt w:val="lowerLetter"/>
      <w:lvlText w:val="%2."/>
      <w:lvlJc w:val="left"/>
      <w:pPr>
        <w:ind w:left="1440" w:hanging="360"/>
      </w:pPr>
    </w:lvl>
    <w:lvl w:ilvl="2" w:tplc="CABC1DA6" w:tentative="1">
      <w:start w:val="1"/>
      <w:numFmt w:val="lowerRoman"/>
      <w:lvlText w:val="%3."/>
      <w:lvlJc w:val="right"/>
      <w:pPr>
        <w:ind w:left="2160" w:hanging="180"/>
      </w:pPr>
    </w:lvl>
    <w:lvl w:ilvl="3" w:tplc="D3BA2940" w:tentative="1">
      <w:start w:val="1"/>
      <w:numFmt w:val="decimal"/>
      <w:lvlText w:val="%4."/>
      <w:lvlJc w:val="left"/>
      <w:pPr>
        <w:ind w:left="2880" w:hanging="360"/>
      </w:pPr>
    </w:lvl>
    <w:lvl w:ilvl="4" w:tplc="DCE6FB4A" w:tentative="1">
      <w:start w:val="1"/>
      <w:numFmt w:val="lowerLetter"/>
      <w:lvlText w:val="%5."/>
      <w:lvlJc w:val="left"/>
      <w:pPr>
        <w:ind w:left="3600" w:hanging="360"/>
      </w:pPr>
    </w:lvl>
    <w:lvl w:ilvl="5" w:tplc="03DAFB9C" w:tentative="1">
      <w:start w:val="1"/>
      <w:numFmt w:val="lowerRoman"/>
      <w:lvlText w:val="%6."/>
      <w:lvlJc w:val="right"/>
      <w:pPr>
        <w:ind w:left="4320" w:hanging="180"/>
      </w:pPr>
    </w:lvl>
    <w:lvl w:ilvl="6" w:tplc="39280BCA" w:tentative="1">
      <w:start w:val="1"/>
      <w:numFmt w:val="decimal"/>
      <w:lvlText w:val="%7."/>
      <w:lvlJc w:val="left"/>
      <w:pPr>
        <w:ind w:left="5040" w:hanging="360"/>
      </w:pPr>
    </w:lvl>
    <w:lvl w:ilvl="7" w:tplc="A74CA8AE" w:tentative="1">
      <w:start w:val="1"/>
      <w:numFmt w:val="lowerLetter"/>
      <w:lvlText w:val="%8."/>
      <w:lvlJc w:val="left"/>
      <w:pPr>
        <w:ind w:left="5760" w:hanging="360"/>
      </w:pPr>
    </w:lvl>
    <w:lvl w:ilvl="8" w:tplc="BF00D72E" w:tentative="1">
      <w:start w:val="1"/>
      <w:numFmt w:val="lowerRoman"/>
      <w:lvlText w:val="%9."/>
      <w:lvlJc w:val="right"/>
      <w:pPr>
        <w:ind w:left="6480" w:hanging="180"/>
      </w:pPr>
    </w:lvl>
  </w:abstractNum>
  <w:abstractNum w:abstractNumId="24">
    <w:nsid w:val="7D824999"/>
    <w:multiLevelType w:val="hybridMultilevel"/>
    <w:tmpl w:val="8B8280FA"/>
    <w:lvl w:ilvl="0" w:tplc="7DAA5F8E">
      <w:start w:val="1"/>
      <w:numFmt w:val="decimal"/>
      <w:lvlText w:val="%1)"/>
      <w:lvlJc w:val="left"/>
      <w:pPr>
        <w:ind w:left="720" w:hanging="360"/>
      </w:pPr>
    </w:lvl>
    <w:lvl w:ilvl="1" w:tplc="467A4D2E" w:tentative="1">
      <w:start w:val="1"/>
      <w:numFmt w:val="lowerLetter"/>
      <w:lvlText w:val="%2."/>
      <w:lvlJc w:val="left"/>
      <w:pPr>
        <w:ind w:left="1440" w:hanging="360"/>
      </w:pPr>
    </w:lvl>
    <w:lvl w:ilvl="2" w:tplc="39CA6E5A" w:tentative="1">
      <w:start w:val="1"/>
      <w:numFmt w:val="lowerRoman"/>
      <w:lvlText w:val="%3."/>
      <w:lvlJc w:val="right"/>
      <w:pPr>
        <w:ind w:left="2160" w:hanging="180"/>
      </w:pPr>
    </w:lvl>
    <w:lvl w:ilvl="3" w:tplc="0B367276" w:tentative="1">
      <w:start w:val="1"/>
      <w:numFmt w:val="decimal"/>
      <w:lvlText w:val="%4."/>
      <w:lvlJc w:val="left"/>
      <w:pPr>
        <w:ind w:left="2880" w:hanging="360"/>
      </w:pPr>
    </w:lvl>
    <w:lvl w:ilvl="4" w:tplc="B0D68E5E" w:tentative="1">
      <w:start w:val="1"/>
      <w:numFmt w:val="lowerLetter"/>
      <w:lvlText w:val="%5."/>
      <w:lvlJc w:val="left"/>
      <w:pPr>
        <w:ind w:left="3600" w:hanging="360"/>
      </w:pPr>
    </w:lvl>
    <w:lvl w:ilvl="5" w:tplc="1BA4CC5A" w:tentative="1">
      <w:start w:val="1"/>
      <w:numFmt w:val="lowerRoman"/>
      <w:lvlText w:val="%6."/>
      <w:lvlJc w:val="right"/>
      <w:pPr>
        <w:ind w:left="4320" w:hanging="180"/>
      </w:pPr>
    </w:lvl>
    <w:lvl w:ilvl="6" w:tplc="4E707BCC" w:tentative="1">
      <w:start w:val="1"/>
      <w:numFmt w:val="decimal"/>
      <w:lvlText w:val="%7."/>
      <w:lvlJc w:val="left"/>
      <w:pPr>
        <w:ind w:left="5040" w:hanging="360"/>
      </w:pPr>
    </w:lvl>
    <w:lvl w:ilvl="7" w:tplc="A150FE7E" w:tentative="1">
      <w:start w:val="1"/>
      <w:numFmt w:val="lowerLetter"/>
      <w:lvlText w:val="%8."/>
      <w:lvlJc w:val="left"/>
      <w:pPr>
        <w:ind w:left="5760" w:hanging="360"/>
      </w:pPr>
    </w:lvl>
    <w:lvl w:ilvl="8" w:tplc="C470A410" w:tentative="1">
      <w:start w:val="1"/>
      <w:numFmt w:val="lowerRoman"/>
      <w:lvlText w:val="%9."/>
      <w:lvlJc w:val="right"/>
      <w:pPr>
        <w:ind w:left="6480" w:hanging="180"/>
      </w:pPr>
    </w:lvl>
  </w:abstractNum>
  <w:abstractNum w:abstractNumId="25">
    <w:nsid w:val="7DDB074C"/>
    <w:multiLevelType w:val="hybridMultilevel"/>
    <w:tmpl w:val="6298CAAA"/>
    <w:lvl w:ilvl="0" w:tplc="8392FD82">
      <w:start w:val="1"/>
      <w:numFmt w:val="bullet"/>
      <w:lvlText w:val=""/>
      <w:lvlJc w:val="left"/>
      <w:pPr>
        <w:ind w:left="1080" w:hanging="360"/>
      </w:pPr>
      <w:rPr>
        <w:rFonts w:ascii="Symbol" w:hAnsi="Symbol" w:hint="default"/>
      </w:rPr>
    </w:lvl>
    <w:lvl w:ilvl="1" w:tplc="18641B92" w:tentative="1">
      <w:start w:val="1"/>
      <w:numFmt w:val="lowerLetter"/>
      <w:lvlText w:val="%2."/>
      <w:lvlJc w:val="left"/>
      <w:pPr>
        <w:ind w:left="1800" w:hanging="360"/>
      </w:pPr>
    </w:lvl>
    <w:lvl w:ilvl="2" w:tplc="1D86157C" w:tentative="1">
      <w:start w:val="1"/>
      <w:numFmt w:val="lowerRoman"/>
      <w:lvlText w:val="%3."/>
      <w:lvlJc w:val="right"/>
      <w:pPr>
        <w:ind w:left="2520" w:hanging="180"/>
      </w:pPr>
    </w:lvl>
    <w:lvl w:ilvl="3" w:tplc="79E02A70" w:tentative="1">
      <w:start w:val="1"/>
      <w:numFmt w:val="decimal"/>
      <w:lvlText w:val="%4."/>
      <w:lvlJc w:val="left"/>
      <w:pPr>
        <w:ind w:left="3240" w:hanging="360"/>
      </w:pPr>
    </w:lvl>
    <w:lvl w:ilvl="4" w:tplc="88EE9D66" w:tentative="1">
      <w:start w:val="1"/>
      <w:numFmt w:val="lowerLetter"/>
      <w:lvlText w:val="%5."/>
      <w:lvlJc w:val="left"/>
      <w:pPr>
        <w:ind w:left="3960" w:hanging="360"/>
      </w:pPr>
    </w:lvl>
    <w:lvl w:ilvl="5" w:tplc="D3FE661A" w:tentative="1">
      <w:start w:val="1"/>
      <w:numFmt w:val="lowerRoman"/>
      <w:lvlText w:val="%6."/>
      <w:lvlJc w:val="right"/>
      <w:pPr>
        <w:ind w:left="4680" w:hanging="180"/>
      </w:pPr>
    </w:lvl>
    <w:lvl w:ilvl="6" w:tplc="52A03DFA" w:tentative="1">
      <w:start w:val="1"/>
      <w:numFmt w:val="decimal"/>
      <w:lvlText w:val="%7."/>
      <w:lvlJc w:val="left"/>
      <w:pPr>
        <w:ind w:left="5400" w:hanging="360"/>
      </w:pPr>
    </w:lvl>
    <w:lvl w:ilvl="7" w:tplc="F6EEC7CA" w:tentative="1">
      <w:start w:val="1"/>
      <w:numFmt w:val="lowerLetter"/>
      <w:lvlText w:val="%8."/>
      <w:lvlJc w:val="left"/>
      <w:pPr>
        <w:ind w:left="6120" w:hanging="360"/>
      </w:pPr>
    </w:lvl>
    <w:lvl w:ilvl="8" w:tplc="3EFA498A" w:tentative="1">
      <w:start w:val="1"/>
      <w:numFmt w:val="lowerRoman"/>
      <w:lvlText w:val="%9."/>
      <w:lvlJc w:val="right"/>
      <w:pPr>
        <w:ind w:left="6840" w:hanging="180"/>
      </w:pPr>
    </w:lvl>
  </w:abstractNum>
  <w:abstractNum w:abstractNumId="26">
    <w:nsid w:val="7ED5733F"/>
    <w:multiLevelType w:val="hybridMultilevel"/>
    <w:tmpl w:val="192ACA70"/>
    <w:lvl w:ilvl="0" w:tplc="0694DDCE">
      <w:start w:val="1"/>
      <w:numFmt w:val="decimal"/>
      <w:lvlText w:val="%1."/>
      <w:lvlJc w:val="left"/>
      <w:pPr>
        <w:ind w:left="360" w:hanging="360"/>
      </w:pPr>
    </w:lvl>
    <w:lvl w:ilvl="1" w:tplc="BFA4B232" w:tentative="1">
      <w:start w:val="1"/>
      <w:numFmt w:val="lowerLetter"/>
      <w:lvlText w:val="%2."/>
      <w:lvlJc w:val="left"/>
      <w:pPr>
        <w:ind w:left="1080" w:hanging="360"/>
      </w:pPr>
    </w:lvl>
    <w:lvl w:ilvl="2" w:tplc="AD02AECA" w:tentative="1">
      <w:start w:val="1"/>
      <w:numFmt w:val="lowerRoman"/>
      <w:lvlText w:val="%3."/>
      <w:lvlJc w:val="right"/>
      <w:pPr>
        <w:ind w:left="1800" w:hanging="180"/>
      </w:pPr>
    </w:lvl>
    <w:lvl w:ilvl="3" w:tplc="29866E8C" w:tentative="1">
      <w:start w:val="1"/>
      <w:numFmt w:val="decimal"/>
      <w:lvlText w:val="%4."/>
      <w:lvlJc w:val="left"/>
      <w:pPr>
        <w:ind w:left="2520" w:hanging="360"/>
      </w:pPr>
    </w:lvl>
    <w:lvl w:ilvl="4" w:tplc="7FC89C0C" w:tentative="1">
      <w:start w:val="1"/>
      <w:numFmt w:val="lowerLetter"/>
      <w:lvlText w:val="%5."/>
      <w:lvlJc w:val="left"/>
      <w:pPr>
        <w:ind w:left="3240" w:hanging="360"/>
      </w:pPr>
    </w:lvl>
    <w:lvl w:ilvl="5" w:tplc="E624A584" w:tentative="1">
      <w:start w:val="1"/>
      <w:numFmt w:val="lowerRoman"/>
      <w:lvlText w:val="%6."/>
      <w:lvlJc w:val="right"/>
      <w:pPr>
        <w:ind w:left="3960" w:hanging="180"/>
      </w:pPr>
    </w:lvl>
    <w:lvl w:ilvl="6" w:tplc="3D78B1AA" w:tentative="1">
      <w:start w:val="1"/>
      <w:numFmt w:val="decimal"/>
      <w:lvlText w:val="%7."/>
      <w:lvlJc w:val="left"/>
      <w:pPr>
        <w:ind w:left="4680" w:hanging="360"/>
      </w:pPr>
    </w:lvl>
    <w:lvl w:ilvl="7" w:tplc="3D68420E" w:tentative="1">
      <w:start w:val="1"/>
      <w:numFmt w:val="lowerLetter"/>
      <w:lvlText w:val="%8."/>
      <w:lvlJc w:val="left"/>
      <w:pPr>
        <w:ind w:left="5400" w:hanging="360"/>
      </w:pPr>
    </w:lvl>
    <w:lvl w:ilvl="8" w:tplc="6BFACB18"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18"/>
  </w:num>
  <w:num w:numId="5">
    <w:abstractNumId w:val="25"/>
  </w:num>
  <w:num w:numId="6">
    <w:abstractNumId w:val="19"/>
  </w:num>
  <w:num w:numId="7">
    <w:abstractNumId w:val="12"/>
  </w:num>
  <w:num w:numId="8">
    <w:abstractNumId w:val="5"/>
  </w:num>
  <w:num w:numId="9">
    <w:abstractNumId w:val="26"/>
  </w:num>
  <w:num w:numId="10">
    <w:abstractNumId w:val="9"/>
  </w:num>
  <w:num w:numId="11">
    <w:abstractNumId w:val="16"/>
  </w:num>
  <w:num w:numId="12">
    <w:abstractNumId w:val="1"/>
  </w:num>
  <w:num w:numId="13">
    <w:abstractNumId w:val="17"/>
  </w:num>
  <w:num w:numId="14">
    <w:abstractNumId w:val="20"/>
  </w:num>
  <w:num w:numId="15">
    <w:abstractNumId w:val="4"/>
  </w:num>
  <w:num w:numId="16">
    <w:abstractNumId w:val="21"/>
  </w:num>
  <w:num w:numId="17">
    <w:abstractNumId w:val="7"/>
  </w:num>
  <w:num w:numId="18">
    <w:abstractNumId w:val="23"/>
  </w:num>
  <w:num w:numId="19">
    <w:abstractNumId w:val="24"/>
  </w:num>
  <w:num w:numId="20">
    <w:abstractNumId w:val="15"/>
  </w:num>
  <w:num w:numId="21">
    <w:abstractNumId w:val="14"/>
  </w:num>
  <w:num w:numId="22">
    <w:abstractNumId w:val="6"/>
  </w:num>
  <w:num w:numId="23">
    <w:abstractNumId w:val="3"/>
  </w:num>
  <w:num w:numId="24">
    <w:abstractNumId w:val="0"/>
  </w:num>
  <w:num w:numId="25">
    <w:abstractNumId w:val="13"/>
  </w:num>
  <w:num w:numId="26">
    <w:abstractNumId w:val="22"/>
  </w:num>
  <w:num w:numId="2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0167"/>
    <w:rsid w:val="00001BED"/>
    <w:rsid w:val="000028D0"/>
    <w:rsid w:val="000035A9"/>
    <w:rsid w:val="00005284"/>
    <w:rsid w:val="00011807"/>
    <w:rsid w:val="0001746D"/>
    <w:rsid w:val="00021180"/>
    <w:rsid w:val="000212BC"/>
    <w:rsid w:val="00021611"/>
    <w:rsid w:val="00021F53"/>
    <w:rsid w:val="000324D1"/>
    <w:rsid w:val="000330E5"/>
    <w:rsid w:val="000357A1"/>
    <w:rsid w:val="00040FA4"/>
    <w:rsid w:val="0004524D"/>
    <w:rsid w:val="0004739D"/>
    <w:rsid w:val="00047644"/>
    <w:rsid w:val="00051326"/>
    <w:rsid w:val="000517AC"/>
    <w:rsid w:val="00052B3C"/>
    <w:rsid w:val="00053881"/>
    <w:rsid w:val="00053FDA"/>
    <w:rsid w:val="00054B00"/>
    <w:rsid w:val="00055987"/>
    <w:rsid w:val="00055EAC"/>
    <w:rsid w:val="0005758A"/>
    <w:rsid w:val="00057746"/>
    <w:rsid w:val="000609B3"/>
    <w:rsid w:val="000622A3"/>
    <w:rsid w:val="0006351E"/>
    <w:rsid w:val="00063FDB"/>
    <w:rsid w:val="000646B3"/>
    <w:rsid w:val="00065A23"/>
    <w:rsid w:val="00065FFB"/>
    <w:rsid w:val="000700FA"/>
    <w:rsid w:val="000708D2"/>
    <w:rsid w:val="00070C77"/>
    <w:rsid w:val="0007106D"/>
    <w:rsid w:val="00072074"/>
    <w:rsid w:val="00073740"/>
    <w:rsid w:val="00073DFB"/>
    <w:rsid w:val="0007471D"/>
    <w:rsid w:val="0007551E"/>
    <w:rsid w:val="00075B2E"/>
    <w:rsid w:val="00077F62"/>
    <w:rsid w:val="00080A86"/>
    <w:rsid w:val="00080E73"/>
    <w:rsid w:val="0008197A"/>
    <w:rsid w:val="00081EEF"/>
    <w:rsid w:val="0008331F"/>
    <w:rsid w:val="00085516"/>
    <w:rsid w:val="0008603A"/>
    <w:rsid w:val="000865E3"/>
    <w:rsid w:val="00090851"/>
    <w:rsid w:val="00091380"/>
    <w:rsid w:val="00091DC6"/>
    <w:rsid w:val="000940E0"/>
    <w:rsid w:val="0009537E"/>
    <w:rsid w:val="000964EF"/>
    <w:rsid w:val="000A1838"/>
    <w:rsid w:val="000A3107"/>
    <w:rsid w:val="000A4CC5"/>
    <w:rsid w:val="000A6500"/>
    <w:rsid w:val="000A7661"/>
    <w:rsid w:val="000A7838"/>
    <w:rsid w:val="000B07B4"/>
    <w:rsid w:val="000B1700"/>
    <w:rsid w:val="000B22EA"/>
    <w:rsid w:val="000B2BA4"/>
    <w:rsid w:val="000B3376"/>
    <w:rsid w:val="000B683B"/>
    <w:rsid w:val="000C3C8A"/>
    <w:rsid w:val="000C441F"/>
    <w:rsid w:val="000C617B"/>
    <w:rsid w:val="000C6336"/>
    <w:rsid w:val="000D032C"/>
    <w:rsid w:val="000D28B0"/>
    <w:rsid w:val="000D4B86"/>
    <w:rsid w:val="000D5F8D"/>
    <w:rsid w:val="000D631C"/>
    <w:rsid w:val="000D70E9"/>
    <w:rsid w:val="000E0FE6"/>
    <w:rsid w:val="000E19CD"/>
    <w:rsid w:val="000E2925"/>
    <w:rsid w:val="000E5212"/>
    <w:rsid w:val="000E6012"/>
    <w:rsid w:val="000E647F"/>
    <w:rsid w:val="000E6C33"/>
    <w:rsid w:val="000F0A55"/>
    <w:rsid w:val="000F17EA"/>
    <w:rsid w:val="000F1949"/>
    <w:rsid w:val="000F34F6"/>
    <w:rsid w:val="000F5089"/>
    <w:rsid w:val="000F5EF1"/>
    <w:rsid w:val="0010166D"/>
    <w:rsid w:val="00104376"/>
    <w:rsid w:val="0010585B"/>
    <w:rsid w:val="0010770D"/>
    <w:rsid w:val="001116E1"/>
    <w:rsid w:val="00112665"/>
    <w:rsid w:val="00114B13"/>
    <w:rsid w:val="001203B9"/>
    <w:rsid w:val="001214F0"/>
    <w:rsid w:val="001218CE"/>
    <w:rsid w:val="00124E49"/>
    <w:rsid w:val="001254E0"/>
    <w:rsid w:val="00126794"/>
    <w:rsid w:val="00126C69"/>
    <w:rsid w:val="00126D12"/>
    <w:rsid w:val="0014097D"/>
    <w:rsid w:val="001478F5"/>
    <w:rsid w:val="00147EC4"/>
    <w:rsid w:val="00150E8C"/>
    <w:rsid w:val="00152E28"/>
    <w:rsid w:val="00154857"/>
    <w:rsid w:val="001549B8"/>
    <w:rsid w:val="0015752E"/>
    <w:rsid w:val="00164040"/>
    <w:rsid w:val="001645ED"/>
    <w:rsid w:val="001647B6"/>
    <w:rsid w:val="001660FA"/>
    <w:rsid w:val="00166CD2"/>
    <w:rsid w:val="00166F39"/>
    <w:rsid w:val="00170ADA"/>
    <w:rsid w:val="00172066"/>
    <w:rsid w:val="00172B5F"/>
    <w:rsid w:val="00173C3D"/>
    <w:rsid w:val="001751A3"/>
    <w:rsid w:val="001775FD"/>
    <w:rsid w:val="00181925"/>
    <w:rsid w:val="00186994"/>
    <w:rsid w:val="00186E09"/>
    <w:rsid w:val="00192B51"/>
    <w:rsid w:val="00192CD9"/>
    <w:rsid w:val="00193F9B"/>
    <w:rsid w:val="00195526"/>
    <w:rsid w:val="00197C1A"/>
    <w:rsid w:val="00197CD3"/>
    <w:rsid w:val="001A068D"/>
    <w:rsid w:val="001A0F5F"/>
    <w:rsid w:val="001A18B9"/>
    <w:rsid w:val="001A2095"/>
    <w:rsid w:val="001A2492"/>
    <w:rsid w:val="001A3C05"/>
    <w:rsid w:val="001B2385"/>
    <w:rsid w:val="001B266E"/>
    <w:rsid w:val="001B3C9E"/>
    <w:rsid w:val="001B3EE7"/>
    <w:rsid w:val="001B53A5"/>
    <w:rsid w:val="001B595B"/>
    <w:rsid w:val="001C034B"/>
    <w:rsid w:val="001C1778"/>
    <w:rsid w:val="001C26B3"/>
    <w:rsid w:val="001C37CE"/>
    <w:rsid w:val="001C38F8"/>
    <w:rsid w:val="001D65CC"/>
    <w:rsid w:val="001E2E4F"/>
    <w:rsid w:val="001E46F5"/>
    <w:rsid w:val="001E4A38"/>
    <w:rsid w:val="001F1D88"/>
    <w:rsid w:val="001F3354"/>
    <w:rsid w:val="001F6C62"/>
    <w:rsid w:val="001F7017"/>
    <w:rsid w:val="001F764C"/>
    <w:rsid w:val="002007E7"/>
    <w:rsid w:val="002051F3"/>
    <w:rsid w:val="002079DE"/>
    <w:rsid w:val="00207BA7"/>
    <w:rsid w:val="00211607"/>
    <w:rsid w:val="00220E92"/>
    <w:rsid w:val="00221229"/>
    <w:rsid w:val="0022338A"/>
    <w:rsid w:val="00223E04"/>
    <w:rsid w:val="00223F11"/>
    <w:rsid w:val="00226E91"/>
    <w:rsid w:val="0022780C"/>
    <w:rsid w:val="00232B56"/>
    <w:rsid w:val="0023352A"/>
    <w:rsid w:val="00233644"/>
    <w:rsid w:val="00235FA4"/>
    <w:rsid w:val="002419A9"/>
    <w:rsid w:val="002447AD"/>
    <w:rsid w:val="00247ED8"/>
    <w:rsid w:val="00251BFF"/>
    <w:rsid w:val="002564F0"/>
    <w:rsid w:val="00257D05"/>
    <w:rsid w:val="00260F9A"/>
    <w:rsid w:val="0026231C"/>
    <w:rsid w:val="00262450"/>
    <w:rsid w:val="00262AEA"/>
    <w:rsid w:val="00265C4C"/>
    <w:rsid w:val="00265D78"/>
    <w:rsid w:val="00266110"/>
    <w:rsid w:val="0026723F"/>
    <w:rsid w:val="002677B3"/>
    <w:rsid w:val="00271E93"/>
    <w:rsid w:val="0027335F"/>
    <w:rsid w:val="00274684"/>
    <w:rsid w:val="00274FBF"/>
    <w:rsid w:val="00275836"/>
    <w:rsid w:val="0027646C"/>
    <w:rsid w:val="00276BC2"/>
    <w:rsid w:val="002813F2"/>
    <w:rsid w:val="00281C02"/>
    <w:rsid w:val="002825B1"/>
    <w:rsid w:val="00282F87"/>
    <w:rsid w:val="00283330"/>
    <w:rsid w:val="00283F3D"/>
    <w:rsid w:val="002840E5"/>
    <w:rsid w:val="00285F1B"/>
    <w:rsid w:val="00286272"/>
    <w:rsid w:val="00286473"/>
    <w:rsid w:val="002866A8"/>
    <w:rsid w:val="00287C2C"/>
    <w:rsid w:val="00290DA3"/>
    <w:rsid w:val="002916EE"/>
    <w:rsid w:val="00294FB1"/>
    <w:rsid w:val="002A0B3B"/>
    <w:rsid w:val="002A22F9"/>
    <w:rsid w:val="002A4128"/>
    <w:rsid w:val="002A5D02"/>
    <w:rsid w:val="002A6181"/>
    <w:rsid w:val="002A6F1B"/>
    <w:rsid w:val="002B3A94"/>
    <w:rsid w:val="002B4367"/>
    <w:rsid w:val="002B4B36"/>
    <w:rsid w:val="002B643D"/>
    <w:rsid w:val="002B6ECD"/>
    <w:rsid w:val="002C1D7D"/>
    <w:rsid w:val="002C24B4"/>
    <w:rsid w:val="002C2C38"/>
    <w:rsid w:val="002C32BC"/>
    <w:rsid w:val="002C47A5"/>
    <w:rsid w:val="002C57D5"/>
    <w:rsid w:val="002C5CEB"/>
    <w:rsid w:val="002D04EA"/>
    <w:rsid w:val="002D4A80"/>
    <w:rsid w:val="002D7683"/>
    <w:rsid w:val="002F1038"/>
    <w:rsid w:val="002F24BA"/>
    <w:rsid w:val="002F267B"/>
    <w:rsid w:val="002F26A1"/>
    <w:rsid w:val="002F3C26"/>
    <w:rsid w:val="002F4028"/>
    <w:rsid w:val="002F4148"/>
    <w:rsid w:val="0030014B"/>
    <w:rsid w:val="00303F03"/>
    <w:rsid w:val="00306F55"/>
    <w:rsid w:val="00311B0C"/>
    <w:rsid w:val="00312A07"/>
    <w:rsid w:val="00312D11"/>
    <w:rsid w:val="003160F4"/>
    <w:rsid w:val="00320BF8"/>
    <w:rsid w:val="00320F8C"/>
    <w:rsid w:val="00321839"/>
    <w:rsid w:val="00321B6E"/>
    <w:rsid w:val="00325136"/>
    <w:rsid w:val="003262C1"/>
    <w:rsid w:val="0032699D"/>
    <w:rsid w:val="00327669"/>
    <w:rsid w:val="00327FDE"/>
    <w:rsid w:val="003307C6"/>
    <w:rsid w:val="0033090D"/>
    <w:rsid w:val="003318EA"/>
    <w:rsid w:val="003321CF"/>
    <w:rsid w:val="00332BF4"/>
    <w:rsid w:val="00333DE1"/>
    <w:rsid w:val="00340043"/>
    <w:rsid w:val="00341DFC"/>
    <w:rsid w:val="00342332"/>
    <w:rsid w:val="003437FC"/>
    <w:rsid w:val="003439AF"/>
    <w:rsid w:val="0034453B"/>
    <w:rsid w:val="00345E46"/>
    <w:rsid w:val="00347141"/>
    <w:rsid w:val="003475B8"/>
    <w:rsid w:val="00347D57"/>
    <w:rsid w:val="00352346"/>
    <w:rsid w:val="003524DF"/>
    <w:rsid w:val="00352844"/>
    <w:rsid w:val="003552A4"/>
    <w:rsid w:val="00361D92"/>
    <w:rsid w:val="00363999"/>
    <w:rsid w:val="00363B5A"/>
    <w:rsid w:val="003647B9"/>
    <w:rsid w:val="00365204"/>
    <w:rsid w:val="0037231D"/>
    <w:rsid w:val="00373184"/>
    <w:rsid w:val="00373585"/>
    <w:rsid w:val="0037460D"/>
    <w:rsid w:val="0037659C"/>
    <w:rsid w:val="003848C6"/>
    <w:rsid w:val="0038517B"/>
    <w:rsid w:val="00390590"/>
    <w:rsid w:val="003915A8"/>
    <w:rsid w:val="00391C32"/>
    <w:rsid w:val="00395B94"/>
    <w:rsid w:val="003977B0"/>
    <w:rsid w:val="00397AF8"/>
    <w:rsid w:val="003A18F3"/>
    <w:rsid w:val="003A7A3E"/>
    <w:rsid w:val="003B0B7C"/>
    <w:rsid w:val="003B0C3B"/>
    <w:rsid w:val="003B2C73"/>
    <w:rsid w:val="003B33B9"/>
    <w:rsid w:val="003B465A"/>
    <w:rsid w:val="003B603E"/>
    <w:rsid w:val="003B6BFE"/>
    <w:rsid w:val="003C1B8C"/>
    <w:rsid w:val="003C4C3D"/>
    <w:rsid w:val="003C65E0"/>
    <w:rsid w:val="003D00DA"/>
    <w:rsid w:val="003D0494"/>
    <w:rsid w:val="003D2306"/>
    <w:rsid w:val="003D35A8"/>
    <w:rsid w:val="003D594F"/>
    <w:rsid w:val="003E0F8A"/>
    <w:rsid w:val="003E5359"/>
    <w:rsid w:val="003E653B"/>
    <w:rsid w:val="003E661C"/>
    <w:rsid w:val="003E6BFC"/>
    <w:rsid w:val="003F13A5"/>
    <w:rsid w:val="003F1F6A"/>
    <w:rsid w:val="003F3DBD"/>
    <w:rsid w:val="003F782D"/>
    <w:rsid w:val="00401577"/>
    <w:rsid w:val="00403B84"/>
    <w:rsid w:val="0040421F"/>
    <w:rsid w:val="00405361"/>
    <w:rsid w:val="00410230"/>
    <w:rsid w:val="00412625"/>
    <w:rsid w:val="00413521"/>
    <w:rsid w:val="004149AC"/>
    <w:rsid w:val="00421A2B"/>
    <w:rsid w:val="00422252"/>
    <w:rsid w:val="00424479"/>
    <w:rsid w:val="00424E69"/>
    <w:rsid w:val="0042627B"/>
    <w:rsid w:val="004345DB"/>
    <w:rsid w:val="00434873"/>
    <w:rsid w:val="00436C80"/>
    <w:rsid w:val="00440011"/>
    <w:rsid w:val="0044045F"/>
    <w:rsid w:val="004438C0"/>
    <w:rsid w:val="00444F56"/>
    <w:rsid w:val="00453276"/>
    <w:rsid w:val="00453E89"/>
    <w:rsid w:val="00457E6A"/>
    <w:rsid w:val="00461CDE"/>
    <w:rsid w:val="00462FEF"/>
    <w:rsid w:val="004653F6"/>
    <w:rsid w:val="004657B5"/>
    <w:rsid w:val="004678F5"/>
    <w:rsid w:val="00471432"/>
    <w:rsid w:val="004719D7"/>
    <w:rsid w:val="004762E1"/>
    <w:rsid w:val="0047652F"/>
    <w:rsid w:val="00477FE1"/>
    <w:rsid w:val="004805A7"/>
    <w:rsid w:val="00483A00"/>
    <w:rsid w:val="00483B3A"/>
    <w:rsid w:val="00487AA0"/>
    <w:rsid w:val="00490919"/>
    <w:rsid w:val="00492385"/>
    <w:rsid w:val="0049356C"/>
    <w:rsid w:val="00496AC7"/>
    <w:rsid w:val="004A0A13"/>
    <w:rsid w:val="004A1C60"/>
    <w:rsid w:val="004A2696"/>
    <w:rsid w:val="004A6502"/>
    <w:rsid w:val="004B0398"/>
    <w:rsid w:val="004B1395"/>
    <w:rsid w:val="004B32E7"/>
    <w:rsid w:val="004B3EA8"/>
    <w:rsid w:val="004B441F"/>
    <w:rsid w:val="004B5D52"/>
    <w:rsid w:val="004B716B"/>
    <w:rsid w:val="004B78B6"/>
    <w:rsid w:val="004C3CA8"/>
    <w:rsid w:val="004C5D38"/>
    <w:rsid w:val="004D0066"/>
    <w:rsid w:val="004D43AC"/>
    <w:rsid w:val="004D57E5"/>
    <w:rsid w:val="004D6CDE"/>
    <w:rsid w:val="004E05DF"/>
    <w:rsid w:val="004E0DBC"/>
    <w:rsid w:val="004E1B22"/>
    <w:rsid w:val="004E1B5C"/>
    <w:rsid w:val="004E2BA4"/>
    <w:rsid w:val="004E4609"/>
    <w:rsid w:val="004E480B"/>
    <w:rsid w:val="004E4906"/>
    <w:rsid w:val="004E4A10"/>
    <w:rsid w:val="004E4A66"/>
    <w:rsid w:val="004E4B10"/>
    <w:rsid w:val="004F130D"/>
    <w:rsid w:val="004F77F4"/>
    <w:rsid w:val="0050174C"/>
    <w:rsid w:val="0050422B"/>
    <w:rsid w:val="0050591B"/>
    <w:rsid w:val="00506FCF"/>
    <w:rsid w:val="00507119"/>
    <w:rsid w:val="00514BA4"/>
    <w:rsid w:val="00514BBF"/>
    <w:rsid w:val="00516E7B"/>
    <w:rsid w:val="00523403"/>
    <w:rsid w:val="0052596E"/>
    <w:rsid w:val="00526298"/>
    <w:rsid w:val="00526D9B"/>
    <w:rsid w:val="00531BD0"/>
    <w:rsid w:val="00532A46"/>
    <w:rsid w:val="0053362D"/>
    <w:rsid w:val="00533B65"/>
    <w:rsid w:val="00534015"/>
    <w:rsid w:val="00534DFF"/>
    <w:rsid w:val="00544620"/>
    <w:rsid w:val="00547148"/>
    <w:rsid w:val="00547427"/>
    <w:rsid w:val="00550DF0"/>
    <w:rsid w:val="00551A4B"/>
    <w:rsid w:val="00551B6C"/>
    <w:rsid w:val="00552611"/>
    <w:rsid w:val="00552A13"/>
    <w:rsid w:val="00553D8B"/>
    <w:rsid w:val="00554C75"/>
    <w:rsid w:val="00556CF2"/>
    <w:rsid w:val="00560443"/>
    <w:rsid w:val="00560E73"/>
    <w:rsid w:val="00564AEE"/>
    <w:rsid w:val="005655FD"/>
    <w:rsid w:val="00567814"/>
    <w:rsid w:val="00573F62"/>
    <w:rsid w:val="00576E43"/>
    <w:rsid w:val="00581A40"/>
    <w:rsid w:val="00583853"/>
    <w:rsid w:val="0058665E"/>
    <w:rsid w:val="00587D82"/>
    <w:rsid w:val="005917D9"/>
    <w:rsid w:val="00592D27"/>
    <w:rsid w:val="005934AE"/>
    <w:rsid w:val="005936A1"/>
    <w:rsid w:val="0059379C"/>
    <w:rsid w:val="005937D4"/>
    <w:rsid w:val="00593BFB"/>
    <w:rsid w:val="005A1E01"/>
    <w:rsid w:val="005A32B9"/>
    <w:rsid w:val="005A3396"/>
    <w:rsid w:val="005A4E0C"/>
    <w:rsid w:val="005A6E4E"/>
    <w:rsid w:val="005B05E5"/>
    <w:rsid w:val="005B094B"/>
    <w:rsid w:val="005B189F"/>
    <w:rsid w:val="005B46C8"/>
    <w:rsid w:val="005C00F0"/>
    <w:rsid w:val="005C07C8"/>
    <w:rsid w:val="005C0EA0"/>
    <w:rsid w:val="005C32C7"/>
    <w:rsid w:val="005C7BFC"/>
    <w:rsid w:val="005D0483"/>
    <w:rsid w:val="005D0A39"/>
    <w:rsid w:val="005D26D1"/>
    <w:rsid w:val="005D2ADF"/>
    <w:rsid w:val="005D44D7"/>
    <w:rsid w:val="005D4790"/>
    <w:rsid w:val="005D493F"/>
    <w:rsid w:val="005D4A5F"/>
    <w:rsid w:val="005D4E10"/>
    <w:rsid w:val="005D6DD8"/>
    <w:rsid w:val="005D7D58"/>
    <w:rsid w:val="005E08CF"/>
    <w:rsid w:val="005E1A28"/>
    <w:rsid w:val="005E4D32"/>
    <w:rsid w:val="005F1E7D"/>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5DD2"/>
    <w:rsid w:val="00617D2F"/>
    <w:rsid w:val="006244EA"/>
    <w:rsid w:val="00624E17"/>
    <w:rsid w:val="006259B0"/>
    <w:rsid w:val="00626A0B"/>
    <w:rsid w:val="00635058"/>
    <w:rsid w:val="006352F3"/>
    <w:rsid w:val="0063532E"/>
    <w:rsid w:val="00637D38"/>
    <w:rsid w:val="00640FF8"/>
    <w:rsid w:val="00643575"/>
    <w:rsid w:val="006445F7"/>
    <w:rsid w:val="006457B3"/>
    <w:rsid w:val="00645F30"/>
    <w:rsid w:val="00646B31"/>
    <w:rsid w:val="00651FE4"/>
    <w:rsid w:val="00652D3C"/>
    <w:rsid w:val="0065404F"/>
    <w:rsid w:val="00655D03"/>
    <w:rsid w:val="006611E7"/>
    <w:rsid w:val="006639F5"/>
    <w:rsid w:val="00663B51"/>
    <w:rsid w:val="00666CCB"/>
    <w:rsid w:val="00667CD3"/>
    <w:rsid w:val="00670A9D"/>
    <w:rsid w:val="00671A9F"/>
    <w:rsid w:val="0067328D"/>
    <w:rsid w:val="00676860"/>
    <w:rsid w:val="00676EBE"/>
    <w:rsid w:val="00677F4D"/>
    <w:rsid w:val="00680400"/>
    <w:rsid w:val="00680679"/>
    <w:rsid w:val="00681FAD"/>
    <w:rsid w:val="006840E1"/>
    <w:rsid w:val="00684D5D"/>
    <w:rsid w:val="00690A79"/>
    <w:rsid w:val="00693E06"/>
    <w:rsid w:val="00694D82"/>
    <w:rsid w:val="00695A5C"/>
    <w:rsid w:val="006A1B0C"/>
    <w:rsid w:val="006A2730"/>
    <w:rsid w:val="006A4545"/>
    <w:rsid w:val="006A548B"/>
    <w:rsid w:val="006A6523"/>
    <w:rsid w:val="006A6B56"/>
    <w:rsid w:val="006A7EEA"/>
    <w:rsid w:val="006A7F3F"/>
    <w:rsid w:val="006B1200"/>
    <w:rsid w:val="006B23B6"/>
    <w:rsid w:val="006B2F2F"/>
    <w:rsid w:val="006B3860"/>
    <w:rsid w:val="006B4CDF"/>
    <w:rsid w:val="006B775B"/>
    <w:rsid w:val="006C0144"/>
    <w:rsid w:val="006C0571"/>
    <w:rsid w:val="006C4067"/>
    <w:rsid w:val="006C6039"/>
    <w:rsid w:val="006C7BAE"/>
    <w:rsid w:val="006D1795"/>
    <w:rsid w:val="006D1B29"/>
    <w:rsid w:val="006D396D"/>
    <w:rsid w:val="006D5CE4"/>
    <w:rsid w:val="006D6221"/>
    <w:rsid w:val="006D6440"/>
    <w:rsid w:val="006E10FB"/>
    <w:rsid w:val="006E18B5"/>
    <w:rsid w:val="006E21E8"/>
    <w:rsid w:val="006E2BB8"/>
    <w:rsid w:val="006E3381"/>
    <w:rsid w:val="006E3C35"/>
    <w:rsid w:val="006E5BF7"/>
    <w:rsid w:val="006E6AD9"/>
    <w:rsid w:val="006E7CE0"/>
    <w:rsid w:val="006F105F"/>
    <w:rsid w:val="006F45CE"/>
    <w:rsid w:val="006F49C8"/>
    <w:rsid w:val="006F7805"/>
    <w:rsid w:val="0070004D"/>
    <w:rsid w:val="007017CA"/>
    <w:rsid w:val="00705591"/>
    <w:rsid w:val="00705EF1"/>
    <w:rsid w:val="00711A73"/>
    <w:rsid w:val="00717161"/>
    <w:rsid w:val="00720366"/>
    <w:rsid w:val="007205E4"/>
    <w:rsid w:val="007233F3"/>
    <w:rsid w:val="00723E67"/>
    <w:rsid w:val="00725401"/>
    <w:rsid w:val="00725C78"/>
    <w:rsid w:val="007268BF"/>
    <w:rsid w:val="00727723"/>
    <w:rsid w:val="007277D6"/>
    <w:rsid w:val="0073132D"/>
    <w:rsid w:val="007319B0"/>
    <w:rsid w:val="00733B6D"/>
    <w:rsid w:val="007356B1"/>
    <w:rsid w:val="0074074F"/>
    <w:rsid w:val="007418C1"/>
    <w:rsid w:val="00741F24"/>
    <w:rsid w:val="00743918"/>
    <w:rsid w:val="007450BD"/>
    <w:rsid w:val="00750A2F"/>
    <w:rsid w:val="007524AE"/>
    <w:rsid w:val="007537CE"/>
    <w:rsid w:val="00753F64"/>
    <w:rsid w:val="00753FD3"/>
    <w:rsid w:val="007547B3"/>
    <w:rsid w:val="00755F07"/>
    <w:rsid w:val="00756506"/>
    <w:rsid w:val="00756A2B"/>
    <w:rsid w:val="00757A2B"/>
    <w:rsid w:val="00757EBB"/>
    <w:rsid w:val="007608DB"/>
    <w:rsid w:val="00761101"/>
    <w:rsid w:val="00762300"/>
    <w:rsid w:val="007638F1"/>
    <w:rsid w:val="0076562E"/>
    <w:rsid w:val="00766EE5"/>
    <w:rsid w:val="00767903"/>
    <w:rsid w:val="00767B8E"/>
    <w:rsid w:val="00767E13"/>
    <w:rsid w:val="0077280F"/>
    <w:rsid w:val="007729B2"/>
    <w:rsid w:val="00774469"/>
    <w:rsid w:val="00774E20"/>
    <w:rsid w:val="00776FB8"/>
    <w:rsid w:val="00777BEF"/>
    <w:rsid w:val="0078171A"/>
    <w:rsid w:val="0078367D"/>
    <w:rsid w:val="007907D2"/>
    <w:rsid w:val="00790DF6"/>
    <w:rsid w:val="00790F67"/>
    <w:rsid w:val="00791CFA"/>
    <w:rsid w:val="007932A1"/>
    <w:rsid w:val="00793CD6"/>
    <w:rsid w:val="0079439A"/>
    <w:rsid w:val="007946E1"/>
    <w:rsid w:val="00794D56"/>
    <w:rsid w:val="007973E4"/>
    <w:rsid w:val="007A182D"/>
    <w:rsid w:val="007A4453"/>
    <w:rsid w:val="007A4833"/>
    <w:rsid w:val="007A5D27"/>
    <w:rsid w:val="007A67A6"/>
    <w:rsid w:val="007B24D6"/>
    <w:rsid w:val="007B3322"/>
    <w:rsid w:val="007B3810"/>
    <w:rsid w:val="007B4E16"/>
    <w:rsid w:val="007B61BD"/>
    <w:rsid w:val="007B7549"/>
    <w:rsid w:val="007C28BB"/>
    <w:rsid w:val="007C31CE"/>
    <w:rsid w:val="007C68DB"/>
    <w:rsid w:val="007C6B84"/>
    <w:rsid w:val="007C7C30"/>
    <w:rsid w:val="007D17E9"/>
    <w:rsid w:val="007D1A9B"/>
    <w:rsid w:val="007D27C0"/>
    <w:rsid w:val="007D2E9E"/>
    <w:rsid w:val="007D2F1C"/>
    <w:rsid w:val="007D309B"/>
    <w:rsid w:val="007D39E2"/>
    <w:rsid w:val="007D4D2B"/>
    <w:rsid w:val="007D5236"/>
    <w:rsid w:val="007D7354"/>
    <w:rsid w:val="007E01EB"/>
    <w:rsid w:val="007E10A6"/>
    <w:rsid w:val="007E1981"/>
    <w:rsid w:val="007E3425"/>
    <w:rsid w:val="007E504D"/>
    <w:rsid w:val="007E5AC6"/>
    <w:rsid w:val="007E604F"/>
    <w:rsid w:val="007E6CA0"/>
    <w:rsid w:val="007F02E0"/>
    <w:rsid w:val="007F1ADA"/>
    <w:rsid w:val="007F6195"/>
    <w:rsid w:val="00800882"/>
    <w:rsid w:val="008023DD"/>
    <w:rsid w:val="00810147"/>
    <w:rsid w:val="00812D11"/>
    <w:rsid w:val="00814C73"/>
    <w:rsid w:val="00816680"/>
    <w:rsid w:val="00822393"/>
    <w:rsid w:val="008223FB"/>
    <w:rsid w:val="008256AD"/>
    <w:rsid w:val="00826766"/>
    <w:rsid w:val="00830D79"/>
    <w:rsid w:val="00834620"/>
    <w:rsid w:val="00835898"/>
    <w:rsid w:val="0083593F"/>
    <w:rsid w:val="00835EFC"/>
    <w:rsid w:val="00836E7B"/>
    <w:rsid w:val="00837295"/>
    <w:rsid w:val="0083796B"/>
    <w:rsid w:val="0084043F"/>
    <w:rsid w:val="008425E6"/>
    <w:rsid w:val="0084501E"/>
    <w:rsid w:val="00846C52"/>
    <w:rsid w:val="00850418"/>
    <w:rsid w:val="00850E11"/>
    <w:rsid w:val="00851545"/>
    <w:rsid w:val="008555A9"/>
    <w:rsid w:val="008556B4"/>
    <w:rsid w:val="00857C27"/>
    <w:rsid w:val="008604AB"/>
    <w:rsid w:val="00860860"/>
    <w:rsid w:val="00863C7D"/>
    <w:rsid w:val="00863FFB"/>
    <w:rsid w:val="0086438C"/>
    <w:rsid w:val="00864CD7"/>
    <w:rsid w:val="00864FC7"/>
    <w:rsid w:val="00865C1A"/>
    <w:rsid w:val="00866D1B"/>
    <w:rsid w:val="00870D35"/>
    <w:rsid w:val="00871239"/>
    <w:rsid w:val="00872251"/>
    <w:rsid w:val="00874ABF"/>
    <w:rsid w:val="00876435"/>
    <w:rsid w:val="00876DEC"/>
    <w:rsid w:val="00880048"/>
    <w:rsid w:val="00884583"/>
    <w:rsid w:val="008871AB"/>
    <w:rsid w:val="00887580"/>
    <w:rsid w:val="00895A58"/>
    <w:rsid w:val="008A2205"/>
    <w:rsid w:val="008A2878"/>
    <w:rsid w:val="008A2FC7"/>
    <w:rsid w:val="008A30E4"/>
    <w:rsid w:val="008A34D0"/>
    <w:rsid w:val="008A3A8C"/>
    <w:rsid w:val="008A3E07"/>
    <w:rsid w:val="008B2014"/>
    <w:rsid w:val="008B3ABF"/>
    <w:rsid w:val="008B5BD7"/>
    <w:rsid w:val="008B6328"/>
    <w:rsid w:val="008C07F4"/>
    <w:rsid w:val="008C100A"/>
    <w:rsid w:val="008C5D2C"/>
    <w:rsid w:val="008C6101"/>
    <w:rsid w:val="008C6B20"/>
    <w:rsid w:val="008D01F4"/>
    <w:rsid w:val="008D1246"/>
    <w:rsid w:val="008D20CE"/>
    <w:rsid w:val="008D506B"/>
    <w:rsid w:val="008D50FB"/>
    <w:rsid w:val="008D67A9"/>
    <w:rsid w:val="008D721E"/>
    <w:rsid w:val="008E0650"/>
    <w:rsid w:val="008E0E4B"/>
    <w:rsid w:val="008E201E"/>
    <w:rsid w:val="008E2CBE"/>
    <w:rsid w:val="008E498E"/>
    <w:rsid w:val="008E64A4"/>
    <w:rsid w:val="008E6AEF"/>
    <w:rsid w:val="008F0665"/>
    <w:rsid w:val="008F0FAF"/>
    <w:rsid w:val="008F284A"/>
    <w:rsid w:val="008F3C44"/>
    <w:rsid w:val="008F5AF5"/>
    <w:rsid w:val="008F683C"/>
    <w:rsid w:val="008F68B0"/>
    <w:rsid w:val="00902EE8"/>
    <w:rsid w:val="00905F0E"/>
    <w:rsid w:val="009065FC"/>
    <w:rsid w:val="009066CD"/>
    <w:rsid w:val="00906AB8"/>
    <w:rsid w:val="00906EE6"/>
    <w:rsid w:val="0090737E"/>
    <w:rsid w:val="00911670"/>
    <w:rsid w:val="00912F4F"/>
    <w:rsid w:val="00913E4A"/>
    <w:rsid w:val="00914B18"/>
    <w:rsid w:val="0092057B"/>
    <w:rsid w:val="009206E8"/>
    <w:rsid w:val="00922580"/>
    <w:rsid w:val="00923F44"/>
    <w:rsid w:val="009249CB"/>
    <w:rsid w:val="00926A26"/>
    <w:rsid w:val="0093381D"/>
    <w:rsid w:val="00934FF4"/>
    <w:rsid w:val="00935B58"/>
    <w:rsid w:val="00935F15"/>
    <w:rsid w:val="00940EA7"/>
    <w:rsid w:val="0094181C"/>
    <w:rsid w:val="00941A76"/>
    <w:rsid w:val="00941C5C"/>
    <w:rsid w:val="00950306"/>
    <w:rsid w:val="00951054"/>
    <w:rsid w:val="00951607"/>
    <w:rsid w:val="00952F18"/>
    <w:rsid w:val="0095462D"/>
    <w:rsid w:val="0096117E"/>
    <w:rsid w:val="00961F20"/>
    <w:rsid w:val="00965DB5"/>
    <w:rsid w:val="00970136"/>
    <w:rsid w:val="009710AF"/>
    <w:rsid w:val="00971744"/>
    <w:rsid w:val="00971C9A"/>
    <w:rsid w:val="009742D3"/>
    <w:rsid w:val="0097574D"/>
    <w:rsid w:val="0098086C"/>
    <w:rsid w:val="009814AD"/>
    <w:rsid w:val="009830E0"/>
    <w:rsid w:val="0098525D"/>
    <w:rsid w:val="00986AF7"/>
    <w:rsid w:val="0098717E"/>
    <w:rsid w:val="00987475"/>
    <w:rsid w:val="009A098F"/>
    <w:rsid w:val="009A160E"/>
    <w:rsid w:val="009A4279"/>
    <w:rsid w:val="009A46E8"/>
    <w:rsid w:val="009A59CE"/>
    <w:rsid w:val="009A7A02"/>
    <w:rsid w:val="009B03E6"/>
    <w:rsid w:val="009B048F"/>
    <w:rsid w:val="009B6945"/>
    <w:rsid w:val="009B6C1F"/>
    <w:rsid w:val="009B6F62"/>
    <w:rsid w:val="009B6F9A"/>
    <w:rsid w:val="009C0117"/>
    <w:rsid w:val="009C60DD"/>
    <w:rsid w:val="009C78B6"/>
    <w:rsid w:val="009C7ACB"/>
    <w:rsid w:val="009C7F31"/>
    <w:rsid w:val="009D0E74"/>
    <w:rsid w:val="009D22B9"/>
    <w:rsid w:val="009D27A4"/>
    <w:rsid w:val="009D4263"/>
    <w:rsid w:val="009D4270"/>
    <w:rsid w:val="009D6B41"/>
    <w:rsid w:val="009E0188"/>
    <w:rsid w:val="009E15A6"/>
    <w:rsid w:val="009E4C1E"/>
    <w:rsid w:val="009E4CD1"/>
    <w:rsid w:val="009E71DE"/>
    <w:rsid w:val="009F12CB"/>
    <w:rsid w:val="009F2764"/>
    <w:rsid w:val="009F5024"/>
    <w:rsid w:val="009F60C1"/>
    <w:rsid w:val="009F6B84"/>
    <w:rsid w:val="009F7261"/>
    <w:rsid w:val="009F7448"/>
    <w:rsid w:val="009F7585"/>
    <w:rsid w:val="009F7CDF"/>
    <w:rsid w:val="00A00C06"/>
    <w:rsid w:val="00A0226E"/>
    <w:rsid w:val="00A0260E"/>
    <w:rsid w:val="00A03E5D"/>
    <w:rsid w:val="00A067DF"/>
    <w:rsid w:val="00A1004D"/>
    <w:rsid w:val="00A10828"/>
    <w:rsid w:val="00A10969"/>
    <w:rsid w:val="00A115FB"/>
    <w:rsid w:val="00A11F36"/>
    <w:rsid w:val="00A13EA0"/>
    <w:rsid w:val="00A167B4"/>
    <w:rsid w:val="00A17A13"/>
    <w:rsid w:val="00A222F7"/>
    <w:rsid w:val="00A2274B"/>
    <w:rsid w:val="00A22F96"/>
    <w:rsid w:val="00A232A0"/>
    <w:rsid w:val="00A235FD"/>
    <w:rsid w:val="00A247FB"/>
    <w:rsid w:val="00A259BE"/>
    <w:rsid w:val="00A26872"/>
    <w:rsid w:val="00A27C2B"/>
    <w:rsid w:val="00A30DEA"/>
    <w:rsid w:val="00A32EEE"/>
    <w:rsid w:val="00A34B37"/>
    <w:rsid w:val="00A34DDA"/>
    <w:rsid w:val="00A3637B"/>
    <w:rsid w:val="00A36D4D"/>
    <w:rsid w:val="00A3748D"/>
    <w:rsid w:val="00A4075B"/>
    <w:rsid w:val="00A419D1"/>
    <w:rsid w:val="00A45B5B"/>
    <w:rsid w:val="00A47F60"/>
    <w:rsid w:val="00A516B6"/>
    <w:rsid w:val="00A53D52"/>
    <w:rsid w:val="00A53E09"/>
    <w:rsid w:val="00A54F98"/>
    <w:rsid w:val="00A553B1"/>
    <w:rsid w:val="00A56F20"/>
    <w:rsid w:val="00A572C9"/>
    <w:rsid w:val="00A60719"/>
    <w:rsid w:val="00A60A17"/>
    <w:rsid w:val="00A61180"/>
    <w:rsid w:val="00A61CAD"/>
    <w:rsid w:val="00A63B38"/>
    <w:rsid w:val="00A6448F"/>
    <w:rsid w:val="00A7119E"/>
    <w:rsid w:val="00A719A8"/>
    <w:rsid w:val="00A71E8D"/>
    <w:rsid w:val="00A72F3C"/>
    <w:rsid w:val="00A769F4"/>
    <w:rsid w:val="00A80B11"/>
    <w:rsid w:val="00A81EEE"/>
    <w:rsid w:val="00A82233"/>
    <w:rsid w:val="00A82AB2"/>
    <w:rsid w:val="00A852A5"/>
    <w:rsid w:val="00A87035"/>
    <w:rsid w:val="00A870DE"/>
    <w:rsid w:val="00A8726E"/>
    <w:rsid w:val="00A8764C"/>
    <w:rsid w:val="00A901AE"/>
    <w:rsid w:val="00A90B4C"/>
    <w:rsid w:val="00A91787"/>
    <w:rsid w:val="00A91F13"/>
    <w:rsid w:val="00A927A2"/>
    <w:rsid w:val="00A9317D"/>
    <w:rsid w:val="00AA281A"/>
    <w:rsid w:val="00AA3F8F"/>
    <w:rsid w:val="00AA444F"/>
    <w:rsid w:val="00AA5996"/>
    <w:rsid w:val="00AB1103"/>
    <w:rsid w:val="00AB260E"/>
    <w:rsid w:val="00AB33BE"/>
    <w:rsid w:val="00AB50EC"/>
    <w:rsid w:val="00AB560D"/>
    <w:rsid w:val="00AB6048"/>
    <w:rsid w:val="00AB7A37"/>
    <w:rsid w:val="00AC1ADB"/>
    <w:rsid w:val="00AC3E61"/>
    <w:rsid w:val="00AC4090"/>
    <w:rsid w:val="00AC65D8"/>
    <w:rsid w:val="00AD15A1"/>
    <w:rsid w:val="00AD1CEF"/>
    <w:rsid w:val="00AD5186"/>
    <w:rsid w:val="00AD614C"/>
    <w:rsid w:val="00AD7158"/>
    <w:rsid w:val="00AE064A"/>
    <w:rsid w:val="00AE0B9D"/>
    <w:rsid w:val="00AE2542"/>
    <w:rsid w:val="00AE2DA1"/>
    <w:rsid w:val="00AE3D1F"/>
    <w:rsid w:val="00AE3D4A"/>
    <w:rsid w:val="00AF008F"/>
    <w:rsid w:val="00AF29A1"/>
    <w:rsid w:val="00AF2A46"/>
    <w:rsid w:val="00AF2D2C"/>
    <w:rsid w:val="00AF339D"/>
    <w:rsid w:val="00AF5EAB"/>
    <w:rsid w:val="00AF651A"/>
    <w:rsid w:val="00AF7BC2"/>
    <w:rsid w:val="00AF7D97"/>
    <w:rsid w:val="00B006FE"/>
    <w:rsid w:val="00B00A00"/>
    <w:rsid w:val="00B01571"/>
    <w:rsid w:val="00B045E9"/>
    <w:rsid w:val="00B046F0"/>
    <w:rsid w:val="00B06FF6"/>
    <w:rsid w:val="00B116BD"/>
    <w:rsid w:val="00B23432"/>
    <w:rsid w:val="00B26F56"/>
    <w:rsid w:val="00B30833"/>
    <w:rsid w:val="00B33416"/>
    <w:rsid w:val="00B41229"/>
    <w:rsid w:val="00B44C76"/>
    <w:rsid w:val="00B51D77"/>
    <w:rsid w:val="00B52C32"/>
    <w:rsid w:val="00B53478"/>
    <w:rsid w:val="00B54302"/>
    <w:rsid w:val="00B55196"/>
    <w:rsid w:val="00B55DBB"/>
    <w:rsid w:val="00B56B20"/>
    <w:rsid w:val="00B5712A"/>
    <w:rsid w:val="00B57915"/>
    <w:rsid w:val="00B63BCD"/>
    <w:rsid w:val="00B65944"/>
    <w:rsid w:val="00B65E3D"/>
    <w:rsid w:val="00B72098"/>
    <w:rsid w:val="00B72C00"/>
    <w:rsid w:val="00B753A8"/>
    <w:rsid w:val="00B756A0"/>
    <w:rsid w:val="00B77724"/>
    <w:rsid w:val="00B81445"/>
    <w:rsid w:val="00B81FE0"/>
    <w:rsid w:val="00B8488C"/>
    <w:rsid w:val="00B86029"/>
    <w:rsid w:val="00B87061"/>
    <w:rsid w:val="00B8751C"/>
    <w:rsid w:val="00B9147E"/>
    <w:rsid w:val="00B9350E"/>
    <w:rsid w:val="00B9613D"/>
    <w:rsid w:val="00B96AA2"/>
    <w:rsid w:val="00BA241C"/>
    <w:rsid w:val="00BA4AE6"/>
    <w:rsid w:val="00BA4BE6"/>
    <w:rsid w:val="00BB0275"/>
    <w:rsid w:val="00BB1B66"/>
    <w:rsid w:val="00BB2C9A"/>
    <w:rsid w:val="00BB3414"/>
    <w:rsid w:val="00BB5003"/>
    <w:rsid w:val="00BB5FC0"/>
    <w:rsid w:val="00BC1569"/>
    <w:rsid w:val="00BC1573"/>
    <w:rsid w:val="00BC1918"/>
    <w:rsid w:val="00BC278F"/>
    <w:rsid w:val="00BC376B"/>
    <w:rsid w:val="00BC4651"/>
    <w:rsid w:val="00BC521B"/>
    <w:rsid w:val="00BC5834"/>
    <w:rsid w:val="00BC684E"/>
    <w:rsid w:val="00BC6C16"/>
    <w:rsid w:val="00BD1B6B"/>
    <w:rsid w:val="00BD1D1A"/>
    <w:rsid w:val="00BD4907"/>
    <w:rsid w:val="00BD60F7"/>
    <w:rsid w:val="00BD6145"/>
    <w:rsid w:val="00BD72AE"/>
    <w:rsid w:val="00BD73B8"/>
    <w:rsid w:val="00BD7C6E"/>
    <w:rsid w:val="00BD7D61"/>
    <w:rsid w:val="00BE1590"/>
    <w:rsid w:val="00BE1E58"/>
    <w:rsid w:val="00BE209F"/>
    <w:rsid w:val="00BE23F9"/>
    <w:rsid w:val="00BE2FB9"/>
    <w:rsid w:val="00BE30F3"/>
    <w:rsid w:val="00BE4BC9"/>
    <w:rsid w:val="00BE5486"/>
    <w:rsid w:val="00BE69D8"/>
    <w:rsid w:val="00BE7BB6"/>
    <w:rsid w:val="00BF40C2"/>
    <w:rsid w:val="00BF49FE"/>
    <w:rsid w:val="00C01D86"/>
    <w:rsid w:val="00C022E2"/>
    <w:rsid w:val="00C03CEB"/>
    <w:rsid w:val="00C0641C"/>
    <w:rsid w:val="00C10B2A"/>
    <w:rsid w:val="00C113D5"/>
    <w:rsid w:val="00C127A5"/>
    <w:rsid w:val="00C139D7"/>
    <w:rsid w:val="00C15994"/>
    <w:rsid w:val="00C15CCD"/>
    <w:rsid w:val="00C2157E"/>
    <w:rsid w:val="00C2451C"/>
    <w:rsid w:val="00C2550B"/>
    <w:rsid w:val="00C26D63"/>
    <w:rsid w:val="00C26FAF"/>
    <w:rsid w:val="00C27D76"/>
    <w:rsid w:val="00C313CF"/>
    <w:rsid w:val="00C31684"/>
    <w:rsid w:val="00C31B96"/>
    <w:rsid w:val="00C34221"/>
    <w:rsid w:val="00C35463"/>
    <w:rsid w:val="00C37465"/>
    <w:rsid w:val="00C37BB5"/>
    <w:rsid w:val="00C4392E"/>
    <w:rsid w:val="00C43B4C"/>
    <w:rsid w:val="00C44851"/>
    <w:rsid w:val="00C45DF3"/>
    <w:rsid w:val="00C47CF4"/>
    <w:rsid w:val="00C50E39"/>
    <w:rsid w:val="00C52D57"/>
    <w:rsid w:val="00C532E3"/>
    <w:rsid w:val="00C539AE"/>
    <w:rsid w:val="00C54525"/>
    <w:rsid w:val="00C60C20"/>
    <w:rsid w:val="00C6198B"/>
    <w:rsid w:val="00C628A6"/>
    <w:rsid w:val="00C64CA0"/>
    <w:rsid w:val="00C64D9B"/>
    <w:rsid w:val="00C65B6D"/>
    <w:rsid w:val="00C67B3B"/>
    <w:rsid w:val="00C67BC2"/>
    <w:rsid w:val="00C70545"/>
    <w:rsid w:val="00C70FA9"/>
    <w:rsid w:val="00C726BD"/>
    <w:rsid w:val="00C74EBC"/>
    <w:rsid w:val="00C75699"/>
    <w:rsid w:val="00C823D2"/>
    <w:rsid w:val="00C91204"/>
    <w:rsid w:val="00C91B85"/>
    <w:rsid w:val="00C94587"/>
    <w:rsid w:val="00C97A6C"/>
    <w:rsid w:val="00C97E69"/>
    <w:rsid w:val="00C97F3A"/>
    <w:rsid w:val="00CA0B89"/>
    <w:rsid w:val="00CA1E25"/>
    <w:rsid w:val="00CA254A"/>
    <w:rsid w:val="00CA3FC5"/>
    <w:rsid w:val="00CA4A9C"/>
    <w:rsid w:val="00CA5750"/>
    <w:rsid w:val="00CA6AD8"/>
    <w:rsid w:val="00CB105A"/>
    <w:rsid w:val="00CB2BFE"/>
    <w:rsid w:val="00CB341C"/>
    <w:rsid w:val="00CB50AE"/>
    <w:rsid w:val="00CB52D0"/>
    <w:rsid w:val="00CB533C"/>
    <w:rsid w:val="00CB6676"/>
    <w:rsid w:val="00CC032B"/>
    <w:rsid w:val="00CC09C4"/>
    <w:rsid w:val="00CC1B34"/>
    <w:rsid w:val="00CC2C94"/>
    <w:rsid w:val="00CC6A9A"/>
    <w:rsid w:val="00CC7A88"/>
    <w:rsid w:val="00CD0B05"/>
    <w:rsid w:val="00CD0B4C"/>
    <w:rsid w:val="00CD10FF"/>
    <w:rsid w:val="00CD19E2"/>
    <w:rsid w:val="00CD2FC8"/>
    <w:rsid w:val="00CD5928"/>
    <w:rsid w:val="00CD6746"/>
    <w:rsid w:val="00CE1B17"/>
    <w:rsid w:val="00CE7B0E"/>
    <w:rsid w:val="00CF1ACA"/>
    <w:rsid w:val="00CF25DD"/>
    <w:rsid w:val="00CF7FD5"/>
    <w:rsid w:val="00D00029"/>
    <w:rsid w:val="00D002F8"/>
    <w:rsid w:val="00D01C91"/>
    <w:rsid w:val="00D04D3F"/>
    <w:rsid w:val="00D05A0A"/>
    <w:rsid w:val="00D06392"/>
    <w:rsid w:val="00D077DC"/>
    <w:rsid w:val="00D07D63"/>
    <w:rsid w:val="00D12492"/>
    <w:rsid w:val="00D13542"/>
    <w:rsid w:val="00D15499"/>
    <w:rsid w:val="00D2070F"/>
    <w:rsid w:val="00D20BDF"/>
    <w:rsid w:val="00D226EA"/>
    <w:rsid w:val="00D26ECF"/>
    <w:rsid w:val="00D31906"/>
    <w:rsid w:val="00D3274E"/>
    <w:rsid w:val="00D35717"/>
    <w:rsid w:val="00D37451"/>
    <w:rsid w:val="00D40E42"/>
    <w:rsid w:val="00D42355"/>
    <w:rsid w:val="00D42972"/>
    <w:rsid w:val="00D43F7B"/>
    <w:rsid w:val="00D44207"/>
    <w:rsid w:val="00D46BE1"/>
    <w:rsid w:val="00D4729E"/>
    <w:rsid w:val="00D50D1D"/>
    <w:rsid w:val="00D54483"/>
    <w:rsid w:val="00D639BD"/>
    <w:rsid w:val="00D63C70"/>
    <w:rsid w:val="00D64E74"/>
    <w:rsid w:val="00D6625D"/>
    <w:rsid w:val="00D66591"/>
    <w:rsid w:val="00D66D9A"/>
    <w:rsid w:val="00D7108F"/>
    <w:rsid w:val="00D715F4"/>
    <w:rsid w:val="00D7181A"/>
    <w:rsid w:val="00D71E8D"/>
    <w:rsid w:val="00D73296"/>
    <w:rsid w:val="00D7407A"/>
    <w:rsid w:val="00D807CE"/>
    <w:rsid w:val="00D85210"/>
    <w:rsid w:val="00D8783A"/>
    <w:rsid w:val="00D87861"/>
    <w:rsid w:val="00D916A4"/>
    <w:rsid w:val="00D91DCB"/>
    <w:rsid w:val="00D92434"/>
    <w:rsid w:val="00D94C77"/>
    <w:rsid w:val="00D963F8"/>
    <w:rsid w:val="00D970B0"/>
    <w:rsid w:val="00D97F4C"/>
    <w:rsid w:val="00DA1381"/>
    <w:rsid w:val="00DA1B39"/>
    <w:rsid w:val="00DA377A"/>
    <w:rsid w:val="00DA3C9C"/>
    <w:rsid w:val="00DA45CC"/>
    <w:rsid w:val="00DA5BFB"/>
    <w:rsid w:val="00DA6DE4"/>
    <w:rsid w:val="00DB30C3"/>
    <w:rsid w:val="00DB4033"/>
    <w:rsid w:val="00DB536C"/>
    <w:rsid w:val="00DB58C8"/>
    <w:rsid w:val="00DB5DAD"/>
    <w:rsid w:val="00DC31D4"/>
    <w:rsid w:val="00DC3B0F"/>
    <w:rsid w:val="00DC495E"/>
    <w:rsid w:val="00DC6979"/>
    <w:rsid w:val="00DC79DA"/>
    <w:rsid w:val="00DD24F3"/>
    <w:rsid w:val="00DD403E"/>
    <w:rsid w:val="00DD6ECF"/>
    <w:rsid w:val="00DD7AA6"/>
    <w:rsid w:val="00DE230A"/>
    <w:rsid w:val="00DE51EE"/>
    <w:rsid w:val="00DE6F84"/>
    <w:rsid w:val="00DF0311"/>
    <w:rsid w:val="00DF15F9"/>
    <w:rsid w:val="00DF2BE6"/>
    <w:rsid w:val="00DF47D9"/>
    <w:rsid w:val="00DF4899"/>
    <w:rsid w:val="00DF4C30"/>
    <w:rsid w:val="00DF6BDD"/>
    <w:rsid w:val="00DF6C35"/>
    <w:rsid w:val="00E0054D"/>
    <w:rsid w:val="00E0099C"/>
    <w:rsid w:val="00E0244A"/>
    <w:rsid w:val="00E02BFA"/>
    <w:rsid w:val="00E031A0"/>
    <w:rsid w:val="00E03591"/>
    <w:rsid w:val="00E043AB"/>
    <w:rsid w:val="00E0497D"/>
    <w:rsid w:val="00E05DA3"/>
    <w:rsid w:val="00E10E28"/>
    <w:rsid w:val="00E15118"/>
    <w:rsid w:val="00E1799B"/>
    <w:rsid w:val="00E22EB9"/>
    <w:rsid w:val="00E23290"/>
    <w:rsid w:val="00E23A3B"/>
    <w:rsid w:val="00E25688"/>
    <w:rsid w:val="00E25DB7"/>
    <w:rsid w:val="00E2631E"/>
    <w:rsid w:val="00E277B4"/>
    <w:rsid w:val="00E278C2"/>
    <w:rsid w:val="00E30BC6"/>
    <w:rsid w:val="00E31C5D"/>
    <w:rsid w:val="00E338FB"/>
    <w:rsid w:val="00E340F8"/>
    <w:rsid w:val="00E369BD"/>
    <w:rsid w:val="00E37576"/>
    <w:rsid w:val="00E40B7F"/>
    <w:rsid w:val="00E41603"/>
    <w:rsid w:val="00E466BF"/>
    <w:rsid w:val="00E46DBC"/>
    <w:rsid w:val="00E50023"/>
    <w:rsid w:val="00E5268E"/>
    <w:rsid w:val="00E54245"/>
    <w:rsid w:val="00E550EF"/>
    <w:rsid w:val="00E55C2E"/>
    <w:rsid w:val="00E56467"/>
    <w:rsid w:val="00E57268"/>
    <w:rsid w:val="00E61A0B"/>
    <w:rsid w:val="00E63A82"/>
    <w:rsid w:val="00E64BE8"/>
    <w:rsid w:val="00E65F4A"/>
    <w:rsid w:val="00E66127"/>
    <w:rsid w:val="00E71EE6"/>
    <w:rsid w:val="00E73830"/>
    <w:rsid w:val="00E73D6F"/>
    <w:rsid w:val="00E753DE"/>
    <w:rsid w:val="00E75AD7"/>
    <w:rsid w:val="00E81981"/>
    <w:rsid w:val="00E81E99"/>
    <w:rsid w:val="00E832C4"/>
    <w:rsid w:val="00E8331F"/>
    <w:rsid w:val="00E83E95"/>
    <w:rsid w:val="00E85962"/>
    <w:rsid w:val="00E85C25"/>
    <w:rsid w:val="00E91BE1"/>
    <w:rsid w:val="00E932D1"/>
    <w:rsid w:val="00E94522"/>
    <w:rsid w:val="00E94CC3"/>
    <w:rsid w:val="00E957C1"/>
    <w:rsid w:val="00E96551"/>
    <w:rsid w:val="00E97ED3"/>
    <w:rsid w:val="00EA0C0C"/>
    <w:rsid w:val="00EA1882"/>
    <w:rsid w:val="00EA665F"/>
    <w:rsid w:val="00EA79CF"/>
    <w:rsid w:val="00EA7FE4"/>
    <w:rsid w:val="00EB272F"/>
    <w:rsid w:val="00EB5D62"/>
    <w:rsid w:val="00EB5E48"/>
    <w:rsid w:val="00EC054E"/>
    <w:rsid w:val="00EC22C0"/>
    <w:rsid w:val="00EC2949"/>
    <w:rsid w:val="00EC49F1"/>
    <w:rsid w:val="00EC54BF"/>
    <w:rsid w:val="00EC5BE6"/>
    <w:rsid w:val="00EC5C03"/>
    <w:rsid w:val="00EC5FB2"/>
    <w:rsid w:val="00EC77FC"/>
    <w:rsid w:val="00ED21F8"/>
    <w:rsid w:val="00ED5551"/>
    <w:rsid w:val="00ED6E3B"/>
    <w:rsid w:val="00ED7727"/>
    <w:rsid w:val="00EE0444"/>
    <w:rsid w:val="00EE06EB"/>
    <w:rsid w:val="00EE0872"/>
    <w:rsid w:val="00EE5246"/>
    <w:rsid w:val="00EF0C92"/>
    <w:rsid w:val="00EF1947"/>
    <w:rsid w:val="00EF1FAC"/>
    <w:rsid w:val="00EF229A"/>
    <w:rsid w:val="00EF2848"/>
    <w:rsid w:val="00EF3FDE"/>
    <w:rsid w:val="00EF6DE0"/>
    <w:rsid w:val="00F00714"/>
    <w:rsid w:val="00F02F32"/>
    <w:rsid w:val="00F0325C"/>
    <w:rsid w:val="00F04613"/>
    <w:rsid w:val="00F10C93"/>
    <w:rsid w:val="00F10E73"/>
    <w:rsid w:val="00F10E8D"/>
    <w:rsid w:val="00F15276"/>
    <w:rsid w:val="00F1610E"/>
    <w:rsid w:val="00F16BA1"/>
    <w:rsid w:val="00F17625"/>
    <w:rsid w:val="00F1784C"/>
    <w:rsid w:val="00F20087"/>
    <w:rsid w:val="00F21E87"/>
    <w:rsid w:val="00F22253"/>
    <w:rsid w:val="00F2381F"/>
    <w:rsid w:val="00F23826"/>
    <w:rsid w:val="00F2643F"/>
    <w:rsid w:val="00F270E8"/>
    <w:rsid w:val="00F323B3"/>
    <w:rsid w:val="00F3701C"/>
    <w:rsid w:val="00F46035"/>
    <w:rsid w:val="00F46D55"/>
    <w:rsid w:val="00F474B8"/>
    <w:rsid w:val="00F51510"/>
    <w:rsid w:val="00F537DE"/>
    <w:rsid w:val="00F6151D"/>
    <w:rsid w:val="00F66613"/>
    <w:rsid w:val="00F7177C"/>
    <w:rsid w:val="00F7242D"/>
    <w:rsid w:val="00F7314E"/>
    <w:rsid w:val="00F73419"/>
    <w:rsid w:val="00F8038A"/>
    <w:rsid w:val="00F83EA7"/>
    <w:rsid w:val="00F84439"/>
    <w:rsid w:val="00F8447A"/>
    <w:rsid w:val="00F850BC"/>
    <w:rsid w:val="00F85C8A"/>
    <w:rsid w:val="00F87BAB"/>
    <w:rsid w:val="00F90259"/>
    <w:rsid w:val="00F915C9"/>
    <w:rsid w:val="00F91642"/>
    <w:rsid w:val="00F92C8B"/>
    <w:rsid w:val="00F92F3E"/>
    <w:rsid w:val="00FA61FF"/>
    <w:rsid w:val="00FB08A4"/>
    <w:rsid w:val="00FB261C"/>
    <w:rsid w:val="00FB467B"/>
    <w:rsid w:val="00FB7B4C"/>
    <w:rsid w:val="00FB7E1D"/>
    <w:rsid w:val="00FC2009"/>
    <w:rsid w:val="00FC394D"/>
    <w:rsid w:val="00FC3C5D"/>
    <w:rsid w:val="00FC4142"/>
    <w:rsid w:val="00FC56D7"/>
    <w:rsid w:val="00FC592A"/>
    <w:rsid w:val="00FD0321"/>
    <w:rsid w:val="00FD2B7A"/>
    <w:rsid w:val="00FD2EFA"/>
    <w:rsid w:val="00FD5922"/>
    <w:rsid w:val="00FD6725"/>
    <w:rsid w:val="00FD6B1F"/>
    <w:rsid w:val="00FD70FE"/>
    <w:rsid w:val="00FD7B2D"/>
    <w:rsid w:val="00FD7B4B"/>
    <w:rsid w:val="00FE0406"/>
    <w:rsid w:val="00FE1399"/>
    <w:rsid w:val="00FE3E25"/>
    <w:rsid w:val="00FE3FE4"/>
    <w:rsid w:val="00FE47B7"/>
    <w:rsid w:val="00FE6391"/>
    <w:rsid w:val="00FE6DC5"/>
    <w:rsid w:val="00FE72CE"/>
    <w:rsid w:val="00FF18BE"/>
    <w:rsid w:val="00FF2DF0"/>
    <w:rsid w:val="00FF3209"/>
    <w:rsid w:val="00FF40E4"/>
    <w:rsid w:val="00FF46C2"/>
    <w:rsid w:val="00FF49AC"/>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BFB"/>
    <w:pPr>
      <w:spacing w:before="240" w:after="240" w:line="360" w:lineRule="auto"/>
      <w:jc w:val="both"/>
    </w:pPr>
    <w:rPr>
      <w:rFonts w:ascii="Times New Roman" w:hAnsi="Times New Roman" w:cs="Times New Roman"/>
      <w:szCs w:val="24"/>
      <w:lang w:val="en-US" w:eastAsia="en-US"/>
    </w:rPr>
  </w:style>
  <w:style w:type="paragraph" w:styleId="Heading1">
    <w:name w:val="heading 1"/>
    <w:basedOn w:val="Normal"/>
    <w:next w:val="Normal"/>
    <w:link w:val="Heading1Char"/>
    <w:uiPriority w:val="9"/>
    <w:qFormat/>
    <w:rsid w:val="00670A9D"/>
    <w:pPr>
      <w:keepNext/>
      <w:keepLines/>
      <w:spacing w:before="480" w:after="360"/>
      <w:jc w:val="center"/>
      <w:outlineLvl w:val="0"/>
    </w:pPr>
    <w:rPr>
      <w:rFonts w:eastAsiaTheme="majorEastAsia" w:cs="Times New Roman (Headings CS)"/>
      <w:b/>
      <w:bCs/>
      <w:caps/>
      <w:color w:val="000000" w:themeColor="text1"/>
      <w:szCs w:val="28"/>
      <w:lang w:val="en-GB" w:eastAsia="zh-CN"/>
    </w:rPr>
  </w:style>
  <w:style w:type="paragraph" w:styleId="Heading2">
    <w:name w:val="heading 2"/>
    <w:basedOn w:val="Normal"/>
    <w:next w:val="Normal"/>
    <w:link w:val="Heading2Char"/>
    <w:uiPriority w:val="9"/>
    <w:unhideWhenUsed/>
    <w:qFormat/>
    <w:rsid w:val="00DA5BFB"/>
    <w:pPr>
      <w:keepNext/>
      <w:keepLines/>
      <w:spacing w:line="240" w:lineRule="auto"/>
      <w:jc w:val="left"/>
      <w:outlineLvl w:val="1"/>
    </w:pPr>
    <w:rPr>
      <w:rFonts w:eastAsiaTheme="majorEastAsia" w:cstheme="majorBidi"/>
      <w:b/>
      <w:bCs/>
      <w:color w:val="000000" w:themeColor="text1"/>
      <w:szCs w:val="26"/>
      <w:lang w:val="en-GB" w:eastAsia="zh-CN"/>
    </w:rPr>
  </w:style>
  <w:style w:type="paragraph" w:styleId="Heading3">
    <w:name w:val="heading 3"/>
    <w:basedOn w:val="Normal"/>
    <w:next w:val="Normal"/>
    <w:link w:val="Heading3Char"/>
    <w:uiPriority w:val="9"/>
    <w:unhideWhenUsed/>
    <w:qFormat/>
    <w:rsid w:val="00B06FF6"/>
    <w:pPr>
      <w:keepNext/>
      <w:keepLines/>
      <w:spacing w:before="200" w:line="276" w:lineRule="auto"/>
      <w:outlineLvl w:val="2"/>
    </w:pPr>
    <w:rPr>
      <w:rFonts w:asciiTheme="majorHAnsi" w:eastAsiaTheme="majorEastAsia" w:hAnsiTheme="majorHAnsi" w:cstheme="majorBidi"/>
      <w:b/>
      <w:bCs/>
      <w:color w:val="4F81BD" w:themeColor="accent1"/>
      <w:szCs w:val="22"/>
      <w:lang w:val="en-GB" w:eastAsia="zh-CN"/>
    </w:rPr>
  </w:style>
  <w:style w:type="paragraph" w:styleId="Heading4">
    <w:name w:val="heading 4"/>
    <w:basedOn w:val="Normal"/>
    <w:next w:val="Normal"/>
    <w:link w:val="Heading4Char"/>
    <w:uiPriority w:val="9"/>
    <w:unhideWhenUsed/>
    <w:qFormat/>
    <w:rsid w:val="00922580"/>
    <w:pPr>
      <w:keepNext/>
      <w:keepLines/>
      <w:spacing w:before="200" w:line="276" w:lineRule="auto"/>
      <w:outlineLvl w:val="3"/>
    </w:pPr>
    <w:rPr>
      <w:rFonts w:asciiTheme="majorHAnsi" w:eastAsiaTheme="majorEastAsia" w:hAnsiTheme="majorHAnsi" w:cstheme="majorBidi"/>
      <w:b/>
      <w:bCs/>
      <w:i/>
      <w:iCs/>
      <w:color w:val="4F81BD" w:themeColor="accent1"/>
      <w:szCs w:val="22"/>
      <w:lang w:val="en-GB" w:eastAsia="zh-CN"/>
    </w:rPr>
  </w:style>
  <w:style w:type="paragraph" w:styleId="Heading5">
    <w:name w:val="heading 5"/>
    <w:basedOn w:val="Normal"/>
    <w:next w:val="Normal"/>
    <w:link w:val="Heading5Char"/>
    <w:uiPriority w:val="9"/>
    <w:unhideWhenUsed/>
    <w:qFormat/>
    <w:rsid w:val="00EB5D62"/>
    <w:pPr>
      <w:keepNext/>
      <w:keepLines/>
      <w:spacing w:before="200" w:line="276" w:lineRule="auto"/>
      <w:outlineLvl w:val="4"/>
    </w:pPr>
    <w:rPr>
      <w:rFonts w:asciiTheme="majorHAnsi" w:eastAsiaTheme="majorEastAsia" w:hAnsiTheme="majorHAnsi" w:cstheme="majorBidi"/>
      <w:color w:val="243F60" w:themeColor="accent1" w:themeShade="7F"/>
      <w:szCs w:val="22"/>
      <w:lang w:val="en-GB" w:eastAsia="zh-CN"/>
    </w:rPr>
  </w:style>
  <w:style w:type="paragraph" w:styleId="Heading6">
    <w:name w:val="heading 6"/>
    <w:basedOn w:val="Normal"/>
    <w:next w:val="Normal"/>
    <w:link w:val="Heading6Char"/>
    <w:uiPriority w:val="9"/>
    <w:unhideWhenUsed/>
    <w:qFormat/>
    <w:rsid w:val="00864FC7"/>
    <w:pPr>
      <w:keepNext/>
      <w:keepLines/>
      <w:spacing w:before="200" w:line="276" w:lineRule="auto"/>
      <w:outlineLvl w:val="5"/>
    </w:pPr>
    <w:rPr>
      <w:rFonts w:asciiTheme="majorHAnsi" w:eastAsiaTheme="majorEastAsia" w:hAnsiTheme="majorHAnsi" w:cstheme="majorBidi"/>
      <w:i/>
      <w:iCs/>
      <w:color w:val="243F60" w:themeColor="accent1" w:themeShade="7F"/>
      <w:szCs w:val="22"/>
      <w:lang w:val="en-GB" w:eastAsia="zh-CN"/>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lang w:val="en-GB" w:eastAsia="zh-CN"/>
    </w:rPr>
  </w:style>
  <w:style w:type="paragraph" w:styleId="Heading8">
    <w:name w:val="heading 8"/>
    <w:basedOn w:val="Normal"/>
    <w:next w:val="Normal"/>
    <w:link w:val="Heading8Char"/>
    <w:uiPriority w:val="9"/>
    <w:semiHidden/>
    <w:unhideWhenUsed/>
    <w:qFormat/>
    <w:rsid w:val="002079D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rPr>
      <w:rFonts w:ascii="Calibri" w:hAnsi="Calibri" w:cstheme="minorBidi"/>
      <w:szCs w:val="21"/>
      <w:lang w:val="en-GB" w:eastAsia="zh-CN"/>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70A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DA5BFB"/>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spacing w:after="200" w:line="276" w:lineRule="auto"/>
      <w:ind w:left="720"/>
      <w:contextualSpacing/>
    </w:pPr>
    <w:rPr>
      <w:rFonts w:asciiTheme="minorHAnsi" w:hAnsiTheme="minorHAnsi" w:cstheme="minorBidi"/>
      <w:szCs w:val="22"/>
      <w:lang w:val="en-GB" w:eastAsia="zh-CN"/>
    </w:rPr>
  </w:style>
  <w:style w:type="paragraph" w:styleId="BalloonText">
    <w:name w:val="Balloon Text"/>
    <w:basedOn w:val="Normal"/>
    <w:link w:val="BalloonTextChar"/>
    <w:uiPriority w:val="99"/>
    <w:semiHidden/>
    <w:unhideWhenUsed/>
    <w:rsid w:val="009F12CB"/>
    <w:rPr>
      <w:rFonts w:ascii="Tahoma" w:hAnsi="Tahoma" w:cs="Tahoma"/>
      <w:sz w:val="16"/>
      <w:szCs w:val="16"/>
      <w:lang w:val="en-GB" w:eastAsia="zh-CN"/>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rPr>
      <w:rFonts w:eastAsia="MS Mincho"/>
      <w:b/>
      <w:bCs/>
      <w:sz w:val="20"/>
      <w:szCs w:val="20"/>
      <w:lang w:val="en-GB"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after="200"/>
    </w:pPr>
    <w:rPr>
      <w:rFonts w:asciiTheme="minorHAnsi" w:eastAsia="Batang" w:hAnsiTheme="minorHAnsi" w:cstheme="minorBidi"/>
      <w:sz w:val="20"/>
      <w:szCs w:val="20"/>
      <w:lang w:val="pt-BR"/>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pt-BR"/>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pPr>
    <w:rPr>
      <w:rFonts w:eastAsia="Times New Roman"/>
      <w:lang w:val="en-GB" w:eastAsia="zh-CN"/>
    </w:rPr>
  </w:style>
  <w:style w:type="paragraph" w:styleId="TOC1">
    <w:name w:val="toc 1"/>
    <w:basedOn w:val="Normal"/>
    <w:next w:val="Normal"/>
    <w:autoRedefine/>
    <w:uiPriority w:val="39"/>
    <w:unhideWhenUsed/>
    <w:rsid w:val="00AF651A"/>
    <w:pPr>
      <w:spacing w:after="100" w:line="276" w:lineRule="auto"/>
    </w:pPr>
    <w:rPr>
      <w:rFonts w:asciiTheme="minorHAnsi" w:hAnsiTheme="minorHAnsi" w:cstheme="minorBidi"/>
      <w:szCs w:val="22"/>
      <w:lang w:val="en-GB" w:eastAsia="zh-CN"/>
    </w:rPr>
  </w:style>
  <w:style w:type="paragraph" w:styleId="TOC2">
    <w:name w:val="toc 2"/>
    <w:basedOn w:val="Normal"/>
    <w:next w:val="Normal"/>
    <w:autoRedefine/>
    <w:uiPriority w:val="39"/>
    <w:unhideWhenUsed/>
    <w:rsid w:val="00AF651A"/>
    <w:pPr>
      <w:spacing w:after="100" w:line="276" w:lineRule="auto"/>
      <w:ind w:left="220"/>
    </w:pPr>
    <w:rPr>
      <w:rFonts w:asciiTheme="minorHAnsi" w:hAnsiTheme="minorHAnsi" w:cstheme="minorBidi"/>
      <w:szCs w:val="22"/>
      <w:lang w:val="en-GB" w:eastAsia="zh-CN"/>
    </w:rPr>
  </w:style>
  <w:style w:type="paragraph" w:styleId="TOC3">
    <w:name w:val="toc 3"/>
    <w:basedOn w:val="Normal"/>
    <w:next w:val="Normal"/>
    <w:autoRedefine/>
    <w:uiPriority w:val="39"/>
    <w:unhideWhenUsed/>
    <w:rsid w:val="00AF651A"/>
    <w:pPr>
      <w:spacing w:after="100" w:line="276" w:lineRule="auto"/>
      <w:ind w:left="440"/>
    </w:pPr>
    <w:rPr>
      <w:rFonts w:asciiTheme="minorHAnsi" w:hAnsiTheme="minorHAnsi" w:cstheme="minorBidi"/>
      <w:szCs w:val="22"/>
      <w:lang w:val="en-GB" w:eastAsia="zh-CN"/>
    </w:rPr>
  </w:style>
  <w:style w:type="paragraph" w:styleId="TOC4">
    <w:name w:val="toc 4"/>
    <w:basedOn w:val="Normal"/>
    <w:next w:val="Normal"/>
    <w:autoRedefine/>
    <w:uiPriority w:val="39"/>
    <w:unhideWhenUsed/>
    <w:rsid w:val="00D37451"/>
    <w:pPr>
      <w:spacing w:after="100" w:line="276" w:lineRule="auto"/>
      <w:ind w:left="660"/>
    </w:pPr>
    <w:rPr>
      <w:rFonts w:asciiTheme="minorHAnsi" w:hAnsiTheme="minorHAnsi" w:cstheme="minorBidi"/>
      <w:szCs w:val="22"/>
      <w:lang w:val="en-GB" w:eastAsia="zh-CN"/>
    </w:r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rPr>
      <w:rFonts w:asciiTheme="minorHAnsi" w:hAnsiTheme="minorHAnsi" w:cstheme="minorBidi"/>
      <w:sz w:val="20"/>
      <w:szCs w:val="20"/>
      <w:lang w:val="en-GB" w:eastAsia="zh-CN"/>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FooterChar">
    <w:name w:val="Footer Char"/>
    <w:basedOn w:val="DefaultParagraphFont"/>
    <w:link w:val="Footer"/>
    <w:uiPriority w:val="99"/>
    <w:rsid w:val="00E83E95"/>
  </w:style>
  <w:style w:type="paragraph" w:customStyle="1" w:styleId="boxedsummary">
    <w:name w:val="boxed summary"/>
    <w:rsid w:val="002F4028"/>
    <w:pPr>
      <w:widowControl w:val="0"/>
      <w:pBdr>
        <w:top w:val="single" w:sz="6" w:space="16" w:color="auto"/>
        <w:left w:val="single" w:sz="6" w:space="16" w:color="auto"/>
        <w:bottom w:val="single" w:sz="6" w:space="16" w:color="auto"/>
        <w:right w:val="single" w:sz="6" w:space="16" w:color="auto"/>
      </w:pBdr>
      <w:tabs>
        <w:tab w:val="left" w:pos="6840"/>
      </w:tabs>
      <w:adjustRightInd w:val="0"/>
      <w:spacing w:after="240" w:line="360" w:lineRule="auto"/>
      <w:ind w:left="431" w:right="431"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szCs w:val="22"/>
      <w:lang w:val="en-GB" w:eastAsia="zh-CN"/>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EF229A"/>
    <w:pPr>
      <w:tabs>
        <w:tab w:val="left" w:pos="0"/>
      </w:tabs>
      <w:spacing w:after="240" w:line="360" w:lineRule="auto"/>
      <w:ind w:firstLine="680"/>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line="276" w:lineRule="auto"/>
    </w:pPr>
    <w:rPr>
      <w:rFonts w:asciiTheme="minorHAnsi" w:hAnsiTheme="minorHAnsi" w:cstheme="minorBidi"/>
      <w:szCs w:val="22"/>
      <w:lang w:val="en-GB" w:eastAsia="zh-CN"/>
    </w:r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szCs w:val="20"/>
      <w:lang w:val="en-GB"/>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073DFB"/>
    <w:rPr>
      <w:color w:val="800080" w:themeColor="followedHyperlink"/>
      <w:u w:val="single"/>
    </w:rPr>
  </w:style>
  <w:style w:type="paragraph" w:customStyle="1" w:styleId="TITLE2Bnb">
    <w:name w:val="TITLE 2B nb"/>
    <w:basedOn w:val="Title"/>
    <w:link w:val="TITLE2BnbChar"/>
    <w:qFormat/>
    <w:rsid w:val="00F915C9"/>
    <w:pPr>
      <w:pBdr>
        <w:bottom w:val="none" w:sz="0" w:space="0" w:color="auto"/>
      </w:pBdr>
      <w:tabs>
        <w:tab w:val="left" w:pos="567"/>
      </w:tabs>
      <w:spacing w:after="280"/>
      <w:contextualSpacing w:val="0"/>
    </w:pPr>
    <w:rPr>
      <w:rFonts w:ascii="Trebuchet MS" w:hAnsi="Trebuchet MS"/>
      <w:color w:val="0081CE"/>
      <w:sz w:val="32"/>
      <w:szCs w:val="32"/>
      <w:lang w:val="en-AU" w:eastAsia="zh-CN"/>
    </w:rPr>
  </w:style>
  <w:style w:type="character" w:customStyle="1" w:styleId="TITLE2BnbChar">
    <w:name w:val="TITLE 2B nb Char"/>
    <w:basedOn w:val="DefaultParagraphFont"/>
    <w:link w:val="TITLE2Bnb"/>
    <w:rsid w:val="00F915C9"/>
    <w:rPr>
      <w:rFonts w:ascii="Trebuchet MS" w:eastAsiaTheme="majorEastAsia" w:hAnsi="Trebuchet MS" w:cstheme="majorBidi"/>
      <w:color w:val="0081CE"/>
      <w:spacing w:val="5"/>
      <w:kern w:val="28"/>
      <w:sz w:val="32"/>
      <w:szCs w:val="32"/>
      <w:lang w:val="en-AU"/>
    </w:rPr>
  </w:style>
  <w:style w:type="paragraph" w:customStyle="1" w:styleId="m-1984447007672500088gmail-bodytext1">
    <w:name w:val="m_-1984447007672500088gmail-bodytext1"/>
    <w:basedOn w:val="Normal"/>
    <w:rsid w:val="008A34D0"/>
    <w:pPr>
      <w:spacing w:before="100" w:beforeAutospacing="1" w:after="100" w:afterAutospacing="1"/>
    </w:pPr>
  </w:style>
  <w:style w:type="character" w:customStyle="1" w:styleId="m-1984447007672500088gmail-ginger-module-highlighter-mistake-type-1">
    <w:name w:val="m_-1984447007672500088gmail-ginger-module-highlighter-mistake-type-1"/>
    <w:basedOn w:val="DefaultParagraphFont"/>
    <w:rsid w:val="008A34D0"/>
  </w:style>
  <w:style w:type="character" w:customStyle="1" w:styleId="m-1984447007672500088gmail-ginger-module-highlighter-mistake-type-3">
    <w:name w:val="m_-1984447007672500088gmail-ginger-module-highlighter-mistake-type-3"/>
    <w:basedOn w:val="DefaultParagraphFont"/>
    <w:rsid w:val="008A34D0"/>
  </w:style>
  <w:style w:type="character" w:customStyle="1" w:styleId="UnresolvedMention1">
    <w:name w:val="Unresolved Mention1"/>
    <w:basedOn w:val="DefaultParagraphFont"/>
    <w:uiPriority w:val="99"/>
    <w:semiHidden/>
    <w:unhideWhenUsed/>
    <w:rsid w:val="00186994"/>
    <w:rPr>
      <w:color w:val="605E5C"/>
      <w:shd w:val="clear" w:color="auto" w:fill="E1DFDD"/>
    </w:rPr>
  </w:style>
  <w:style w:type="character" w:customStyle="1" w:styleId="UnresolvedMention">
    <w:name w:val="Unresolved Mention"/>
    <w:basedOn w:val="DefaultParagraphFont"/>
    <w:uiPriority w:val="99"/>
    <w:semiHidden/>
    <w:unhideWhenUsed/>
    <w:rsid w:val="005655FD"/>
    <w:rPr>
      <w:color w:val="605E5C"/>
      <w:shd w:val="clear" w:color="auto" w:fill="E1DFDD"/>
    </w:rPr>
  </w:style>
  <w:style w:type="character" w:customStyle="1" w:styleId="Heading8Char">
    <w:name w:val="Heading 8 Char"/>
    <w:basedOn w:val="DefaultParagraphFont"/>
    <w:link w:val="Heading8"/>
    <w:uiPriority w:val="9"/>
    <w:semiHidden/>
    <w:rsid w:val="002079DE"/>
    <w:rPr>
      <w:rFonts w:asciiTheme="majorHAnsi" w:eastAsiaTheme="majorEastAsia" w:hAnsiTheme="majorHAnsi" w:cstheme="majorBidi"/>
      <w:color w:val="404040" w:themeColor="text1" w:themeTint="BF"/>
      <w:sz w:val="20"/>
      <w:szCs w:val="20"/>
      <w:lang w:val="en-US" w:eastAsia="en-US"/>
    </w:rPr>
  </w:style>
  <w:style w:type="character" w:styleId="Strong">
    <w:name w:val="Strong"/>
    <w:basedOn w:val="DefaultParagraphFont"/>
    <w:uiPriority w:val="22"/>
    <w:qFormat/>
    <w:rsid w:val="00AB260E"/>
    <w:rPr>
      <w:b/>
      <w:bCs/>
    </w:rPr>
  </w:style>
  <w:style w:type="paragraph" w:customStyle="1" w:styleId="BodyText3">
    <w:name w:val="Body Text3"/>
    <w:rsid w:val="00AB260E"/>
    <w:pPr>
      <w:tabs>
        <w:tab w:val="left" w:pos="0"/>
      </w:tabs>
      <w:spacing w:after="240" w:line="360" w:lineRule="auto"/>
      <w:ind w:left="720" w:firstLine="720"/>
      <w:jc w:val="both"/>
    </w:pPr>
    <w:rPr>
      <w:rFonts w:ascii="Times New Roman" w:eastAsia="Times New Roman" w:hAnsi="Times New Roman" w:cs="Times New Roman"/>
      <w:szCs w:val="20"/>
      <w:lang w:eastAsia="en-US"/>
    </w:rPr>
  </w:style>
  <w:style w:type="table" w:customStyle="1" w:styleId="TableGrid1">
    <w:name w:val="Table Grid1"/>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BFB"/>
    <w:pPr>
      <w:spacing w:before="240" w:after="240" w:line="360" w:lineRule="auto"/>
      <w:jc w:val="both"/>
    </w:pPr>
    <w:rPr>
      <w:rFonts w:ascii="Times New Roman" w:hAnsi="Times New Roman" w:cs="Times New Roman"/>
      <w:szCs w:val="24"/>
      <w:lang w:val="en-US" w:eastAsia="en-US"/>
    </w:rPr>
  </w:style>
  <w:style w:type="paragraph" w:styleId="Heading1">
    <w:name w:val="heading 1"/>
    <w:basedOn w:val="Normal"/>
    <w:next w:val="Normal"/>
    <w:link w:val="Heading1Char"/>
    <w:uiPriority w:val="9"/>
    <w:qFormat/>
    <w:rsid w:val="00670A9D"/>
    <w:pPr>
      <w:keepNext/>
      <w:keepLines/>
      <w:spacing w:before="480" w:after="360"/>
      <w:jc w:val="center"/>
      <w:outlineLvl w:val="0"/>
    </w:pPr>
    <w:rPr>
      <w:rFonts w:eastAsiaTheme="majorEastAsia" w:cs="Times New Roman (Headings CS)"/>
      <w:b/>
      <w:bCs/>
      <w:caps/>
      <w:color w:val="000000" w:themeColor="text1"/>
      <w:szCs w:val="28"/>
      <w:lang w:val="en-GB" w:eastAsia="zh-CN"/>
    </w:rPr>
  </w:style>
  <w:style w:type="paragraph" w:styleId="Heading2">
    <w:name w:val="heading 2"/>
    <w:basedOn w:val="Normal"/>
    <w:next w:val="Normal"/>
    <w:link w:val="Heading2Char"/>
    <w:uiPriority w:val="9"/>
    <w:unhideWhenUsed/>
    <w:qFormat/>
    <w:rsid w:val="00DA5BFB"/>
    <w:pPr>
      <w:keepNext/>
      <w:keepLines/>
      <w:spacing w:line="240" w:lineRule="auto"/>
      <w:jc w:val="left"/>
      <w:outlineLvl w:val="1"/>
    </w:pPr>
    <w:rPr>
      <w:rFonts w:eastAsiaTheme="majorEastAsia" w:cstheme="majorBidi"/>
      <w:b/>
      <w:bCs/>
      <w:color w:val="000000" w:themeColor="text1"/>
      <w:szCs w:val="26"/>
      <w:lang w:val="en-GB" w:eastAsia="zh-CN"/>
    </w:rPr>
  </w:style>
  <w:style w:type="paragraph" w:styleId="Heading3">
    <w:name w:val="heading 3"/>
    <w:basedOn w:val="Normal"/>
    <w:next w:val="Normal"/>
    <w:link w:val="Heading3Char"/>
    <w:uiPriority w:val="9"/>
    <w:unhideWhenUsed/>
    <w:qFormat/>
    <w:rsid w:val="00B06FF6"/>
    <w:pPr>
      <w:keepNext/>
      <w:keepLines/>
      <w:spacing w:before="200" w:line="276" w:lineRule="auto"/>
      <w:outlineLvl w:val="2"/>
    </w:pPr>
    <w:rPr>
      <w:rFonts w:asciiTheme="majorHAnsi" w:eastAsiaTheme="majorEastAsia" w:hAnsiTheme="majorHAnsi" w:cstheme="majorBidi"/>
      <w:b/>
      <w:bCs/>
      <w:color w:val="4F81BD" w:themeColor="accent1"/>
      <w:szCs w:val="22"/>
      <w:lang w:val="en-GB" w:eastAsia="zh-CN"/>
    </w:rPr>
  </w:style>
  <w:style w:type="paragraph" w:styleId="Heading4">
    <w:name w:val="heading 4"/>
    <w:basedOn w:val="Normal"/>
    <w:next w:val="Normal"/>
    <w:link w:val="Heading4Char"/>
    <w:uiPriority w:val="9"/>
    <w:unhideWhenUsed/>
    <w:qFormat/>
    <w:rsid w:val="00922580"/>
    <w:pPr>
      <w:keepNext/>
      <w:keepLines/>
      <w:spacing w:before="200" w:line="276" w:lineRule="auto"/>
      <w:outlineLvl w:val="3"/>
    </w:pPr>
    <w:rPr>
      <w:rFonts w:asciiTheme="majorHAnsi" w:eastAsiaTheme="majorEastAsia" w:hAnsiTheme="majorHAnsi" w:cstheme="majorBidi"/>
      <w:b/>
      <w:bCs/>
      <w:i/>
      <w:iCs/>
      <w:color w:val="4F81BD" w:themeColor="accent1"/>
      <w:szCs w:val="22"/>
      <w:lang w:val="en-GB" w:eastAsia="zh-CN"/>
    </w:rPr>
  </w:style>
  <w:style w:type="paragraph" w:styleId="Heading5">
    <w:name w:val="heading 5"/>
    <w:basedOn w:val="Normal"/>
    <w:next w:val="Normal"/>
    <w:link w:val="Heading5Char"/>
    <w:uiPriority w:val="9"/>
    <w:unhideWhenUsed/>
    <w:qFormat/>
    <w:rsid w:val="00EB5D62"/>
    <w:pPr>
      <w:keepNext/>
      <w:keepLines/>
      <w:spacing w:before="200" w:line="276" w:lineRule="auto"/>
      <w:outlineLvl w:val="4"/>
    </w:pPr>
    <w:rPr>
      <w:rFonts w:asciiTheme="majorHAnsi" w:eastAsiaTheme="majorEastAsia" w:hAnsiTheme="majorHAnsi" w:cstheme="majorBidi"/>
      <w:color w:val="243F60" w:themeColor="accent1" w:themeShade="7F"/>
      <w:szCs w:val="22"/>
      <w:lang w:val="en-GB" w:eastAsia="zh-CN"/>
    </w:rPr>
  </w:style>
  <w:style w:type="paragraph" w:styleId="Heading6">
    <w:name w:val="heading 6"/>
    <w:basedOn w:val="Normal"/>
    <w:next w:val="Normal"/>
    <w:link w:val="Heading6Char"/>
    <w:uiPriority w:val="9"/>
    <w:unhideWhenUsed/>
    <w:qFormat/>
    <w:rsid w:val="00864FC7"/>
    <w:pPr>
      <w:keepNext/>
      <w:keepLines/>
      <w:spacing w:before="200" w:line="276" w:lineRule="auto"/>
      <w:outlineLvl w:val="5"/>
    </w:pPr>
    <w:rPr>
      <w:rFonts w:asciiTheme="majorHAnsi" w:eastAsiaTheme="majorEastAsia" w:hAnsiTheme="majorHAnsi" w:cstheme="majorBidi"/>
      <w:i/>
      <w:iCs/>
      <w:color w:val="243F60" w:themeColor="accent1" w:themeShade="7F"/>
      <w:szCs w:val="22"/>
      <w:lang w:val="en-GB" w:eastAsia="zh-CN"/>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lang w:val="en-GB" w:eastAsia="zh-CN"/>
    </w:rPr>
  </w:style>
  <w:style w:type="paragraph" w:styleId="Heading8">
    <w:name w:val="heading 8"/>
    <w:basedOn w:val="Normal"/>
    <w:next w:val="Normal"/>
    <w:link w:val="Heading8Char"/>
    <w:uiPriority w:val="9"/>
    <w:semiHidden/>
    <w:unhideWhenUsed/>
    <w:qFormat/>
    <w:rsid w:val="002079D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rPr>
      <w:rFonts w:ascii="Calibri" w:hAnsi="Calibri" w:cstheme="minorBidi"/>
      <w:szCs w:val="21"/>
      <w:lang w:val="en-GB" w:eastAsia="zh-CN"/>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670A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DA5BFB"/>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spacing w:after="200" w:line="276" w:lineRule="auto"/>
      <w:ind w:left="720"/>
      <w:contextualSpacing/>
    </w:pPr>
    <w:rPr>
      <w:rFonts w:asciiTheme="minorHAnsi" w:hAnsiTheme="minorHAnsi" w:cstheme="minorBidi"/>
      <w:szCs w:val="22"/>
      <w:lang w:val="en-GB" w:eastAsia="zh-CN"/>
    </w:rPr>
  </w:style>
  <w:style w:type="paragraph" w:styleId="BalloonText">
    <w:name w:val="Balloon Text"/>
    <w:basedOn w:val="Normal"/>
    <w:link w:val="BalloonTextChar"/>
    <w:uiPriority w:val="99"/>
    <w:semiHidden/>
    <w:unhideWhenUsed/>
    <w:rsid w:val="009F12CB"/>
    <w:rPr>
      <w:rFonts w:ascii="Tahoma" w:hAnsi="Tahoma" w:cs="Tahoma"/>
      <w:sz w:val="16"/>
      <w:szCs w:val="16"/>
      <w:lang w:val="en-GB" w:eastAsia="zh-CN"/>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rPr>
      <w:rFonts w:eastAsia="MS Mincho"/>
      <w:b/>
      <w:bCs/>
      <w:sz w:val="20"/>
      <w:szCs w:val="20"/>
      <w:lang w:val="en-GB"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after="200"/>
    </w:pPr>
    <w:rPr>
      <w:rFonts w:asciiTheme="minorHAnsi" w:eastAsia="Batang" w:hAnsiTheme="minorHAnsi" w:cstheme="minorBidi"/>
      <w:sz w:val="20"/>
      <w:szCs w:val="20"/>
      <w:lang w:val="pt-BR"/>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pt-BR"/>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pPr>
    <w:rPr>
      <w:rFonts w:eastAsia="Times New Roman"/>
      <w:lang w:val="en-GB" w:eastAsia="zh-CN"/>
    </w:rPr>
  </w:style>
  <w:style w:type="paragraph" w:styleId="TOC1">
    <w:name w:val="toc 1"/>
    <w:basedOn w:val="Normal"/>
    <w:next w:val="Normal"/>
    <w:autoRedefine/>
    <w:uiPriority w:val="39"/>
    <w:unhideWhenUsed/>
    <w:rsid w:val="00AF651A"/>
    <w:pPr>
      <w:spacing w:after="100" w:line="276" w:lineRule="auto"/>
    </w:pPr>
    <w:rPr>
      <w:rFonts w:asciiTheme="minorHAnsi" w:hAnsiTheme="minorHAnsi" w:cstheme="minorBidi"/>
      <w:szCs w:val="22"/>
      <w:lang w:val="en-GB" w:eastAsia="zh-CN"/>
    </w:rPr>
  </w:style>
  <w:style w:type="paragraph" w:styleId="TOC2">
    <w:name w:val="toc 2"/>
    <w:basedOn w:val="Normal"/>
    <w:next w:val="Normal"/>
    <w:autoRedefine/>
    <w:uiPriority w:val="39"/>
    <w:unhideWhenUsed/>
    <w:rsid w:val="00AF651A"/>
    <w:pPr>
      <w:spacing w:after="100" w:line="276" w:lineRule="auto"/>
      <w:ind w:left="220"/>
    </w:pPr>
    <w:rPr>
      <w:rFonts w:asciiTheme="minorHAnsi" w:hAnsiTheme="minorHAnsi" w:cstheme="minorBidi"/>
      <w:szCs w:val="22"/>
      <w:lang w:val="en-GB" w:eastAsia="zh-CN"/>
    </w:rPr>
  </w:style>
  <w:style w:type="paragraph" w:styleId="TOC3">
    <w:name w:val="toc 3"/>
    <w:basedOn w:val="Normal"/>
    <w:next w:val="Normal"/>
    <w:autoRedefine/>
    <w:uiPriority w:val="39"/>
    <w:unhideWhenUsed/>
    <w:rsid w:val="00AF651A"/>
    <w:pPr>
      <w:spacing w:after="100" w:line="276" w:lineRule="auto"/>
      <w:ind w:left="440"/>
    </w:pPr>
    <w:rPr>
      <w:rFonts w:asciiTheme="minorHAnsi" w:hAnsiTheme="minorHAnsi" w:cstheme="minorBidi"/>
      <w:szCs w:val="22"/>
      <w:lang w:val="en-GB" w:eastAsia="zh-CN"/>
    </w:rPr>
  </w:style>
  <w:style w:type="paragraph" w:styleId="TOC4">
    <w:name w:val="toc 4"/>
    <w:basedOn w:val="Normal"/>
    <w:next w:val="Normal"/>
    <w:autoRedefine/>
    <w:uiPriority w:val="39"/>
    <w:unhideWhenUsed/>
    <w:rsid w:val="00D37451"/>
    <w:pPr>
      <w:spacing w:after="100" w:line="276" w:lineRule="auto"/>
      <w:ind w:left="660"/>
    </w:pPr>
    <w:rPr>
      <w:rFonts w:asciiTheme="minorHAnsi" w:hAnsiTheme="minorHAnsi" w:cstheme="minorBidi"/>
      <w:szCs w:val="22"/>
      <w:lang w:val="en-GB" w:eastAsia="zh-CN"/>
    </w:r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rPr>
      <w:rFonts w:asciiTheme="minorHAnsi" w:hAnsiTheme="minorHAnsi" w:cstheme="minorBidi"/>
      <w:sz w:val="20"/>
      <w:szCs w:val="20"/>
      <w:lang w:val="en-GB" w:eastAsia="zh-CN"/>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pPr>
    <w:rPr>
      <w:rFonts w:asciiTheme="minorHAnsi" w:hAnsiTheme="minorHAnsi" w:cstheme="minorBidi"/>
      <w:szCs w:val="22"/>
      <w:lang w:val="en-GB" w:eastAsia="zh-CN"/>
    </w:rPr>
  </w:style>
  <w:style w:type="character" w:customStyle="1" w:styleId="FooterChar">
    <w:name w:val="Footer Char"/>
    <w:basedOn w:val="DefaultParagraphFont"/>
    <w:link w:val="Footer"/>
    <w:uiPriority w:val="99"/>
    <w:rsid w:val="00E83E95"/>
  </w:style>
  <w:style w:type="paragraph" w:customStyle="1" w:styleId="boxedsummary">
    <w:name w:val="boxed summary"/>
    <w:rsid w:val="002F4028"/>
    <w:pPr>
      <w:widowControl w:val="0"/>
      <w:pBdr>
        <w:top w:val="single" w:sz="6" w:space="16" w:color="auto"/>
        <w:left w:val="single" w:sz="6" w:space="16" w:color="auto"/>
        <w:bottom w:val="single" w:sz="6" w:space="16" w:color="auto"/>
        <w:right w:val="single" w:sz="6" w:space="16" w:color="auto"/>
      </w:pBdr>
      <w:tabs>
        <w:tab w:val="left" w:pos="6840"/>
      </w:tabs>
      <w:adjustRightInd w:val="0"/>
      <w:spacing w:after="240" w:line="360" w:lineRule="auto"/>
      <w:ind w:left="431" w:right="431"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szCs w:val="22"/>
      <w:lang w:val="en-GB" w:eastAsia="zh-CN"/>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EF229A"/>
    <w:pPr>
      <w:tabs>
        <w:tab w:val="left" w:pos="0"/>
      </w:tabs>
      <w:spacing w:after="240" w:line="360" w:lineRule="auto"/>
      <w:ind w:firstLine="680"/>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line="276" w:lineRule="auto"/>
    </w:pPr>
    <w:rPr>
      <w:rFonts w:asciiTheme="minorHAnsi" w:hAnsiTheme="minorHAnsi" w:cstheme="minorBidi"/>
      <w:szCs w:val="22"/>
      <w:lang w:val="en-GB" w:eastAsia="zh-CN"/>
    </w:r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szCs w:val="20"/>
      <w:lang w:val="en-GB"/>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FollowedHyperlink">
    <w:name w:val="FollowedHyperlink"/>
    <w:basedOn w:val="DefaultParagraphFont"/>
    <w:uiPriority w:val="99"/>
    <w:semiHidden/>
    <w:unhideWhenUsed/>
    <w:rsid w:val="00073DFB"/>
    <w:rPr>
      <w:color w:val="800080" w:themeColor="followedHyperlink"/>
      <w:u w:val="single"/>
    </w:rPr>
  </w:style>
  <w:style w:type="paragraph" w:customStyle="1" w:styleId="TITLE2Bnb">
    <w:name w:val="TITLE 2B nb"/>
    <w:basedOn w:val="Title"/>
    <w:link w:val="TITLE2BnbChar"/>
    <w:qFormat/>
    <w:rsid w:val="00F915C9"/>
    <w:pPr>
      <w:pBdr>
        <w:bottom w:val="none" w:sz="0" w:space="0" w:color="auto"/>
      </w:pBdr>
      <w:tabs>
        <w:tab w:val="left" w:pos="567"/>
      </w:tabs>
      <w:spacing w:after="280"/>
      <w:contextualSpacing w:val="0"/>
    </w:pPr>
    <w:rPr>
      <w:rFonts w:ascii="Trebuchet MS" w:hAnsi="Trebuchet MS"/>
      <w:color w:val="0081CE"/>
      <w:sz w:val="32"/>
      <w:szCs w:val="32"/>
      <w:lang w:val="en-AU" w:eastAsia="zh-CN"/>
    </w:rPr>
  </w:style>
  <w:style w:type="character" w:customStyle="1" w:styleId="TITLE2BnbChar">
    <w:name w:val="TITLE 2B nb Char"/>
    <w:basedOn w:val="DefaultParagraphFont"/>
    <w:link w:val="TITLE2Bnb"/>
    <w:rsid w:val="00F915C9"/>
    <w:rPr>
      <w:rFonts w:ascii="Trebuchet MS" w:eastAsiaTheme="majorEastAsia" w:hAnsi="Trebuchet MS" w:cstheme="majorBidi"/>
      <w:color w:val="0081CE"/>
      <w:spacing w:val="5"/>
      <w:kern w:val="28"/>
      <w:sz w:val="32"/>
      <w:szCs w:val="32"/>
      <w:lang w:val="en-AU"/>
    </w:rPr>
  </w:style>
  <w:style w:type="paragraph" w:customStyle="1" w:styleId="m-1984447007672500088gmail-bodytext1">
    <w:name w:val="m_-1984447007672500088gmail-bodytext1"/>
    <w:basedOn w:val="Normal"/>
    <w:rsid w:val="008A34D0"/>
    <w:pPr>
      <w:spacing w:before="100" w:beforeAutospacing="1" w:after="100" w:afterAutospacing="1"/>
    </w:pPr>
  </w:style>
  <w:style w:type="character" w:customStyle="1" w:styleId="m-1984447007672500088gmail-ginger-module-highlighter-mistake-type-1">
    <w:name w:val="m_-1984447007672500088gmail-ginger-module-highlighter-mistake-type-1"/>
    <w:basedOn w:val="DefaultParagraphFont"/>
    <w:rsid w:val="008A34D0"/>
  </w:style>
  <w:style w:type="character" w:customStyle="1" w:styleId="m-1984447007672500088gmail-ginger-module-highlighter-mistake-type-3">
    <w:name w:val="m_-1984447007672500088gmail-ginger-module-highlighter-mistake-type-3"/>
    <w:basedOn w:val="DefaultParagraphFont"/>
    <w:rsid w:val="008A34D0"/>
  </w:style>
  <w:style w:type="character" w:customStyle="1" w:styleId="UnresolvedMention1">
    <w:name w:val="Unresolved Mention1"/>
    <w:basedOn w:val="DefaultParagraphFont"/>
    <w:uiPriority w:val="99"/>
    <w:semiHidden/>
    <w:unhideWhenUsed/>
    <w:rsid w:val="00186994"/>
    <w:rPr>
      <w:color w:val="605E5C"/>
      <w:shd w:val="clear" w:color="auto" w:fill="E1DFDD"/>
    </w:rPr>
  </w:style>
  <w:style w:type="character" w:customStyle="1" w:styleId="UnresolvedMention">
    <w:name w:val="Unresolved Mention"/>
    <w:basedOn w:val="DefaultParagraphFont"/>
    <w:uiPriority w:val="99"/>
    <w:semiHidden/>
    <w:unhideWhenUsed/>
    <w:rsid w:val="005655FD"/>
    <w:rPr>
      <w:color w:val="605E5C"/>
      <w:shd w:val="clear" w:color="auto" w:fill="E1DFDD"/>
    </w:rPr>
  </w:style>
  <w:style w:type="character" w:customStyle="1" w:styleId="Heading8Char">
    <w:name w:val="Heading 8 Char"/>
    <w:basedOn w:val="DefaultParagraphFont"/>
    <w:link w:val="Heading8"/>
    <w:uiPriority w:val="9"/>
    <w:semiHidden/>
    <w:rsid w:val="002079DE"/>
    <w:rPr>
      <w:rFonts w:asciiTheme="majorHAnsi" w:eastAsiaTheme="majorEastAsia" w:hAnsiTheme="majorHAnsi" w:cstheme="majorBidi"/>
      <w:color w:val="404040" w:themeColor="text1" w:themeTint="BF"/>
      <w:sz w:val="20"/>
      <w:szCs w:val="20"/>
      <w:lang w:val="en-US" w:eastAsia="en-US"/>
    </w:rPr>
  </w:style>
  <w:style w:type="character" w:styleId="Strong">
    <w:name w:val="Strong"/>
    <w:basedOn w:val="DefaultParagraphFont"/>
    <w:uiPriority w:val="22"/>
    <w:qFormat/>
    <w:rsid w:val="00AB260E"/>
    <w:rPr>
      <w:b/>
      <w:bCs/>
    </w:rPr>
  </w:style>
  <w:style w:type="paragraph" w:customStyle="1" w:styleId="BodyText3">
    <w:name w:val="Body Text3"/>
    <w:rsid w:val="00AB260E"/>
    <w:pPr>
      <w:tabs>
        <w:tab w:val="left" w:pos="0"/>
      </w:tabs>
      <w:spacing w:after="240" w:line="360" w:lineRule="auto"/>
      <w:ind w:left="720" w:firstLine="720"/>
      <w:jc w:val="both"/>
    </w:pPr>
    <w:rPr>
      <w:rFonts w:ascii="Times New Roman" w:eastAsia="Times New Roman" w:hAnsi="Times New Roman" w:cs="Times New Roman"/>
      <w:szCs w:val="20"/>
      <w:lang w:eastAsia="en-US"/>
    </w:rPr>
  </w:style>
  <w:style w:type="table" w:customStyle="1" w:styleId="TableGrid1">
    <w:name w:val="Table Grid1"/>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E6F8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ihr/publications/9789241580496/en/" TargetMode="External"/><Relationship Id="rId18" Type="http://schemas.openxmlformats.org/officeDocument/2006/relationships/hyperlink" Target="http://www.who.int/iris/bitstream/10665/259961/1/9789241550222-eng.pdf" TargetMode="External"/><Relationship Id="rId26" Type="http://schemas.openxmlformats.org/officeDocument/2006/relationships/hyperlink" Target="https://apps.who.int/iris/handle/10665/275484?locale-attribute=fr&amp;" TargetMode="External"/><Relationship Id="rId3" Type="http://schemas.openxmlformats.org/officeDocument/2006/relationships/styles" Target="styles.xml"/><Relationship Id="rId21" Type="http://schemas.openxmlformats.org/officeDocument/2006/relationships/hyperlink" Target="https://extranet.who.int/emt/" TargetMode="External"/><Relationship Id="rId34" Type="http://schemas.openxmlformats.org/officeDocument/2006/relationships/image" Target="media/image2.png"/><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www.emdat.be/" TargetMode="External"/><Relationship Id="rId17" Type="http://schemas.openxmlformats.org/officeDocument/2006/relationships/hyperlink" Target="http://www.who.int/iris/bitstream/10665/272432/1/WHO-WHE-CPI-2018.16-eng.pdf" TargetMode="External"/><Relationship Id="rId25" Type="http://schemas.openxmlformats.org/officeDocument/2006/relationships/hyperlink" Target="http://www.pphsn.net/Publications/brochure-DDM%20.pdf" TargetMode="External"/><Relationship Id="rId33" Type="http://schemas.openxmlformats.org/officeDocument/2006/relationships/hyperlink" Target="https://extranet.who.int/sph/spar/spar/359" TargetMode="External"/><Relationship Id="rId2" Type="http://schemas.openxmlformats.org/officeDocument/2006/relationships/numbering" Target="numbering.xml"/><Relationship Id="rId16" Type="http://schemas.openxmlformats.org/officeDocument/2006/relationships/hyperlink" Target="http://www.who.int/iris/bitstream/10665/276651/1/WHO-WHE-CPI-2018.51-eng.pdf" TargetMode="External"/><Relationship Id="rId20" Type="http://schemas.openxmlformats.org/officeDocument/2006/relationships/hyperlink" Target="http://apps.who.int/gb/ebwha/pdf_files/EB128/B128_R10-fr.pdf?ua=1&amp;ua=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phsn.net/" TargetMode="External"/><Relationship Id="rId24" Type="http://schemas.openxmlformats.org/officeDocument/2006/relationships/hyperlink" Target="https://www.who.int/gho/ihr/en/" TargetMode="External"/><Relationship Id="rId32" Type="http://schemas.openxmlformats.org/officeDocument/2006/relationships/hyperlink" Target="https://extranet.who.int/sph/spar/spar/35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ris.wpro.who.int/handle/10665.1/13654" TargetMode="External"/><Relationship Id="rId23" Type="http://schemas.openxmlformats.org/officeDocument/2006/relationships/hyperlink" Target="https://extranet.who.int/sph/spar/spar/359" TargetMode="External"/><Relationship Id="rId28" Type="http://schemas.openxmlformats.org/officeDocument/2006/relationships/hyperlink" Target="http://apps.who.int/ihr/eventinformation/" TargetMode="External"/><Relationship Id="rId36" Type="http://schemas.openxmlformats.org/officeDocument/2006/relationships/fontTable" Target="fontTable.xml"/><Relationship Id="rId10" Type="http://schemas.openxmlformats.org/officeDocument/2006/relationships/hyperlink" Target="http://phs.spc.int/PPHSN/Publications/directory/PacNet/intro.htm" TargetMode="External"/><Relationship Id="rId19" Type="http://schemas.openxmlformats.org/officeDocument/2006/relationships/hyperlink" Target="http://iris.wpro.who.int/bitstream/handle/10665.1/14336/RS-2018-GE-41-FJI-eng.pdf" TargetMode="External"/><Relationship Id="rId31" Type="http://schemas.openxmlformats.org/officeDocument/2006/relationships/hyperlink" Target="https://www.who.int/ihr/publications/WHO-WHE-CPI-2018.16/en/" TargetMode="External"/><Relationship Id="rId4" Type="http://schemas.microsoft.com/office/2007/relationships/stylesWithEffects" Target="stylesWithEffects.xml"/><Relationship Id="rId9" Type="http://schemas.openxmlformats.org/officeDocument/2006/relationships/hyperlink" Target="https://weltrisikobericht.de/wp-content/uploads/2019/03/190318_WRR_2018_EN_RZonline_1.pdf" TargetMode="External"/><Relationship Id="rId14" Type="http://schemas.openxmlformats.org/officeDocument/2006/relationships/hyperlink" Target="http://iris.wpro.who.int/bitstream/handle/10665.1/10928/9789290617150_eng.pdf" TargetMode="External"/><Relationship Id="rId22" Type="http://schemas.openxmlformats.org/officeDocument/2006/relationships/hyperlink" Target="https://www.who.int/ihr/publications/WHO-WHE-CPI-2018.16/en/" TargetMode="External"/><Relationship Id="rId27" Type="http://schemas.openxmlformats.org/officeDocument/2006/relationships/hyperlink" Target="https://extranet.who.int/ihrportal/" TargetMode="External"/><Relationship Id="rId30" Type="http://schemas.openxmlformats.org/officeDocument/2006/relationships/header" Target="header2.xm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65BBEED2-32E9-4DBB-AF9C-BF8B6C7D4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6335</Words>
  <Characters>36833</Characters>
  <Application>Microsoft Office Word</Application>
  <DocSecurity>4</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43082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2</cp:revision>
  <cp:lastPrinted>2019-07-29T01:21:00Z</cp:lastPrinted>
  <dcterms:created xsi:type="dcterms:W3CDTF">2019-08-01T00:08:00Z</dcterms:created>
  <dcterms:modified xsi:type="dcterms:W3CDTF">2019-08-01T00:08:00Z</dcterms:modified>
</cp:coreProperties>
</file>